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118C" w14:textId="0027ECB5" w:rsidR="00CF4845" w:rsidRPr="007D602E" w:rsidRDefault="00AD1C9C" w:rsidP="00B83C4C">
      <w:pPr>
        <w:pStyle w:val="Title"/>
        <w:rPr>
          <w:rFonts w:ascii="Arial" w:hAnsi="Arial" w:cs="Arial"/>
          <w:b/>
          <w:bCs/>
          <w:sz w:val="36"/>
          <w:szCs w:val="36"/>
        </w:rPr>
      </w:pPr>
      <w:r w:rsidRPr="007D602E">
        <w:rPr>
          <w:rFonts w:ascii="Arial" w:hAnsi="Arial" w:cs="Arial"/>
          <w:b/>
          <w:bCs/>
          <w:sz w:val="36"/>
          <w:szCs w:val="36"/>
        </w:rPr>
        <w:t xml:space="preserve">GRANT FUNDED </w:t>
      </w:r>
      <w:r w:rsidR="00CF4845" w:rsidRPr="007D602E">
        <w:rPr>
          <w:rFonts w:ascii="Arial" w:hAnsi="Arial" w:cs="Arial"/>
          <w:b/>
          <w:bCs/>
          <w:sz w:val="36"/>
          <w:szCs w:val="36"/>
        </w:rPr>
        <w:t>ACQUISITION PROJECTS</w:t>
      </w:r>
    </w:p>
    <w:p w14:paraId="329536F7" w14:textId="1FC94163" w:rsidR="00CF4845" w:rsidRPr="007D602E" w:rsidRDefault="00CF4845" w:rsidP="007D602E">
      <w:pPr>
        <w:pStyle w:val="Heading1"/>
        <w:rPr>
          <w:rFonts w:ascii="Arial" w:hAnsi="Arial" w:cs="Arial"/>
          <w:b/>
          <w:bCs/>
          <w:color w:val="auto"/>
          <w:sz w:val="32"/>
          <w:szCs w:val="32"/>
        </w:rPr>
      </w:pPr>
      <w:r w:rsidRPr="007D602E">
        <w:rPr>
          <w:rFonts w:ascii="Arial" w:hAnsi="Arial" w:cs="Arial"/>
          <w:b/>
          <w:bCs/>
          <w:color w:val="auto"/>
          <w:sz w:val="32"/>
          <w:szCs w:val="32"/>
        </w:rPr>
        <w:t xml:space="preserve">Acquisition Rules </w:t>
      </w:r>
    </w:p>
    <w:p w14:paraId="09B50883" w14:textId="0F72B8E7" w:rsidR="00CF4845" w:rsidRPr="007D602E" w:rsidRDefault="00CF4845" w:rsidP="00AD1C9C">
      <w:pPr>
        <w:tabs>
          <w:tab w:val="left" w:pos="630"/>
        </w:tabs>
        <w:ind w:left="360" w:hanging="360"/>
        <w:rPr>
          <w:rFonts w:ascii="Arial" w:hAnsi="Arial" w:cs="Arial"/>
        </w:rPr>
      </w:pPr>
      <w:r w:rsidRPr="007D602E">
        <w:rPr>
          <w:rFonts w:ascii="Arial" w:hAnsi="Arial" w:cs="Arial"/>
        </w:rPr>
        <w:t xml:space="preserve">1. </w:t>
      </w:r>
      <w:r w:rsidR="00AD1C9C" w:rsidRPr="007D602E">
        <w:rPr>
          <w:rFonts w:ascii="Arial" w:hAnsi="Arial" w:cs="Arial"/>
        </w:rPr>
        <w:tab/>
      </w:r>
      <w:r w:rsidRPr="007D602E">
        <w:rPr>
          <w:rFonts w:ascii="Arial" w:hAnsi="Arial" w:cs="Arial"/>
        </w:rPr>
        <w:t xml:space="preserve">Purchase price cannot exceed the appraised value (fair market value), even if the grantee is willing to pay the difference. </w:t>
      </w:r>
    </w:p>
    <w:p w14:paraId="23F63659" w14:textId="2E5B34C1" w:rsidR="00CF4845" w:rsidRPr="007D602E" w:rsidRDefault="00CF4845" w:rsidP="00AD1C9C">
      <w:pPr>
        <w:ind w:left="360" w:hanging="360"/>
        <w:rPr>
          <w:rFonts w:ascii="Arial" w:hAnsi="Arial" w:cs="Arial"/>
        </w:rPr>
      </w:pPr>
      <w:r w:rsidRPr="007D602E">
        <w:rPr>
          <w:rFonts w:ascii="Arial" w:hAnsi="Arial" w:cs="Arial"/>
        </w:rPr>
        <w:t>2.</w:t>
      </w:r>
      <w:r w:rsidR="00AD1C9C" w:rsidRPr="007D602E">
        <w:rPr>
          <w:rFonts w:ascii="Arial" w:hAnsi="Arial" w:cs="Arial"/>
        </w:rPr>
        <w:tab/>
      </w:r>
      <w:r w:rsidRPr="007D602E">
        <w:rPr>
          <w:rFonts w:ascii="Arial" w:hAnsi="Arial" w:cs="Arial"/>
        </w:rPr>
        <w:t>Land cannot be acquired through eminent domain</w:t>
      </w:r>
      <w:r w:rsidR="008B5E24" w:rsidRPr="007D602E">
        <w:rPr>
          <w:rFonts w:ascii="Arial" w:hAnsi="Arial" w:cs="Arial"/>
        </w:rPr>
        <w:t xml:space="preserve"> or condemnation</w:t>
      </w:r>
      <w:r w:rsidRPr="007D602E">
        <w:rPr>
          <w:rFonts w:ascii="Arial" w:hAnsi="Arial" w:cs="Arial"/>
        </w:rPr>
        <w:t xml:space="preserve">. </w:t>
      </w:r>
    </w:p>
    <w:p w14:paraId="206FBBFB" w14:textId="58EA1C1F" w:rsidR="00CF4845" w:rsidRPr="007D602E" w:rsidRDefault="00CF4845" w:rsidP="00AD1C9C">
      <w:pPr>
        <w:ind w:left="360" w:hanging="360"/>
        <w:rPr>
          <w:rFonts w:ascii="Arial" w:hAnsi="Arial" w:cs="Arial"/>
        </w:rPr>
      </w:pPr>
      <w:r w:rsidRPr="007D602E">
        <w:rPr>
          <w:rFonts w:ascii="Arial" w:hAnsi="Arial" w:cs="Arial"/>
        </w:rPr>
        <w:t>3.</w:t>
      </w:r>
      <w:r w:rsidR="00AD1C9C" w:rsidRPr="007D602E">
        <w:rPr>
          <w:rFonts w:ascii="Arial" w:hAnsi="Arial" w:cs="Arial"/>
        </w:rPr>
        <w:tab/>
      </w:r>
      <w:r w:rsidRPr="007D602E">
        <w:rPr>
          <w:rFonts w:ascii="Arial" w:hAnsi="Arial" w:cs="Arial"/>
        </w:rPr>
        <w:t xml:space="preserve"> Associated acquisition costs, such as appraisals, escrow fees, title insurance, etc., combined must be less than 25% of </w:t>
      </w:r>
      <w:r w:rsidR="00E502F9" w:rsidRPr="007D602E">
        <w:rPr>
          <w:rFonts w:ascii="Arial" w:hAnsi="Arial" w:cs="Arial"/>
        </w:rPr>
        <w:t xml:space="preserve">grant </w:t>
      </w:r>
      <w:r w:rsidR="002A7B73" w:rsidRPr="007D602E">
        <w:rPr>
          <w:rFonts w:ascii="Arial" w:hAnsi="Arial" w:cs="Arial"/>
        </w:rPr>
        <w:t>pr</w:t>
      </w:r>
      <w:r w:rsidR="00AD1C9C" w:rsidRPr="007D602E">
        <w:rPr>
          <w:rFonts w:ascii="Arial" w:hAnsi="Arial" w:cs="Arial"/>
        </w:rPr>
        <w:t>oject</w:t>
      </w:r>
      <w:r w:rsidRPr="007D602E">
        <w:rPr>
          <w:rFonts w:ascii="Arial" w:hAnsi="Arial" w:cs="Arial"/>
        </w:rPr>
        <w:t xml:space="preserve"> costs. </w:t>
      </w:r>
      <w:r w:rsidR="00A635C3">
        <w:rPr>
          <w:rFonts w:ascii="Arial" w:hAnsi="Arial" w:cs="Arial"/>
        </w:rPr>
        <w:t xml:space="preserve">General Fund </w:t>
      </w:r>
      <w:r w:rsidR="00AD1C9C" w:rsidRPr="007D602E">
        <w:rPr>
          <w:rFonts w:ascii="Arial" w:hAnsi="Arial" w:cs="Arial"/>
        </w:rPr>
        <w:t>Specified</w:t>
      </w:r>
      <w:r w:rsidR="004A5D5D" w:rsidRPr="007D602E">
        <w:rPr>
          <w:rFonts w:ascii="Arial" w:hAnsi="Arial" w:cs="Arial"/>
        </w:rPr>
        <w:t xml:space="preserve"> and Land and Water Conservation Fund</w:t>
      </w:r>
      <w:r w:rsidR="00AD1C9C" w:rsidRPr="007D602E">
        <w:rPr>
          <w:rFonts w:ascii="Arial" w:hAnsi="Arial" w:cs="Arial"/>
        </w:rPr>
        <w:t xml:space="preserve"> projects are exempt from this rule.</w:t>
      </w:r>
    </w:p>
    <w:p w14:paraId="2E6761B2" w14:textId="0D1BFCEB" w:rsidR="00CF4845" w:rsidRPr="007D602E" w:rsidRDefault="00CF4845" w:rsidP="00AD1C9C">
      <w:pPr>
        <w:ind w:left="360" w:hanging="360"/>
        <w:rPr>
          <w:rFonts w:ascii="Arial" w:hAnsi="Arial" w:cs="Arial"/>
        </w:rPr>
      </w:pPr>
      <w:r w:rsidRPr="007D602E">
        <w:rPr>
          <w:rFonts w:ascii="Arial" w:hAnsi="Arial" w:cs="Arial"/>
        </w:rPr>
        <w:t>4.</w:t>
      </w:r>
      <w:r w:rsidR="00AD1C9C" w:rsidRPr="007D602E">
        <w:rPr>
          <w:rFonts w:ascii="Arial" w:hAnsi="Arial" w:cs="Arial"/>
        </w:rPr>
        <w:tab/>
      </w:r>
      <w:r w:rsidRPr="007D602E">
        <w:rPr>
          <w:rFonts w:ascii="Arial" w:hAnsi="Arial" w:cs="Arial"/>
        </w:rPr>
        <w:t xml:space="preserve"> A deed restriction must be recorded on the property once the acquisition is complete.</w:t>
      </w:r>
      <w:r w:rsidR="00AD1C9C" w:rsidRPr="007D602E">
        <w:rPr>
          <w:rFonts w:ascii="Arial" w:hAnsi="Arial" w:cs="Arial"/>
        </w:rPr>
        <w:t xml:space="preserve"> </w:t>
      </w:r>
      <w:r w:rsidR="00AF079E" w:rsidRPr="007D602E">
        <w:rPr>
          <w:rFonts w:ascii="Arial" w:hAnsi="Arial" w:cs="Arial"/>
        </w:rPr>
        <w:t>The Project Officer will gen</w:t>
      </w:r>
      <w:r w:rsidR="00104731" w:rsidRPr="007D602E">
        <w:rPr>
          <w:rFonts w:ascii="Arial" w:hAnsi="Arial" w:cs="Arial"/>
        </w:rPr>
        <w:t>erate and send</w:t>
      </w:r>
      <w:r w:rsidR="002C636B" w:rsidRPr="007D602E">
        <w:rPr>
          <w:rFonts w:ascii="Arial" w:hAnsi="Arial" w:cs="Arial"/>
        </w:rPr>
        <w:t xml:space="preserve"> the deed restriction</w:t>
      </w:r>
      <w:r w:rsidR="00104731" w:rsidRPr="007D602E">
        <w:rPr>
          <w:rFonts w:ascii="Arial" w:hAnsi="Arial" w:cs="Arial"/>
        </w:rPr>
        <w:t xml:space="preserve"> to the grantee</w:t>
      </w:r>
      <w:r w:rsidR="003E63A2" w:rsidRPr="007D602E">
        <w:rPr>
          <w:rFonts w:ascii="Arial" w:hAnsi="Arial" w:cs="Arial"/>
        </w:rPr>
        <w:t xml:space="preserve"> prior to the acquisition</w:t>
      </w:r>
      <w:r w:rsidR="00104731" w:rsidRPr="007D602E">
        <w:rPr>
          <w:rFonts w:ascii="Arial" w:hAnsi="Arial" w:cs="Arial"/>
        </w:rPr>
        <w:t xml:space="preserve">. </w:t>
      </w:r>
      <w:r w:rsidR="00AD1C9C" w:rsidRPr="007D602E">
        <w:rPr>
          <w:rFonts w:ascii="Arial" w:hAnsi="Arial" w:cs="Arial"/>
        </w:rPr>
        <w:t xml:space="preserve">See </w:t>
      </w:r>
      <w:hyperlink r:id="rId5" w:tgtFrame="_blank" w:history="1">
        <w:r w:rsidR="00AD1C9C" w:rsidRPr="007D602E">
          <w:rPr>
            <w:rStyle w:val="Hyperlink"/>
            <w:rFonts w:ascii="Arial" w:hAnsi="Arial" w:cs="Arial"/>
            <w:color w:val="046B99"/>
            <w:shd w:val="clear" w:color="auto" w:fill="FFFFFF"/>
          </w:rPr>
          <w:t>Deed Restriction Instructions</w:t>
        </w:r>
      </w:hyperlink>
      <w:r w:rsidR="00E502F9" w:rsidRPr="007D602E">
        <w:rPr>
          <w:rFonts w:ascii="Arial" w:hAnsi="Arial" w:cs="Arial"/>
        </w:rPr>
        <w:t>.</w:t>
      </w:r>
      <w:r w:rsidR="002C636B" w:rsidRPr="007D602E">
        <w:rPr>
          <w:rFonts w:ascii="Arial" w:hAnsi="Arial" w:cs="Arial"/>
        </w:rPr>
        <w:t xml:space="preserve"> </w:t>
      </w:r>
      <w:r w:rsidR="00C13499">
        <w:rPr>
          <w:rFonts w:ascii="Arial" w:hAnsi="Arial" w:cs="Arial"/>
        </w:rPr>
        <w:t>It is suggested that d</w:t>
      </w:r>
      <w:r w:rsidR="002C636B" w:rsidRPr="007D602E">
        <w:rPr>
          <w:rFonts w:ascii="Arial" w:hAnsi="Arial" w:cs="Arial"/>
        </w:rPr>
        <w:t xml:space="preserve">eed restrictions be </w:t>
      </w:r>
      <w:r w:rsidR="00B31325" w:rsidRPr="007D602E">
        <w:rPr>
          <w:rFonts w:ascii="Arial" w:hAnsi="Arial" w:cs="Arial"/>
        </w:rPr>
        <w:t xml:space="preserve">recorded in escrow. </w:t>
      </w:r>
      <w:r w:rsidR="00552820">
        <w:rPr>
          <w:rFonts w:ascii="Arial" w:hAnsi="Arial" w:cs="Arial"/>
        </w:rPr>
        <w:t xml:space="preserve">General Fund </w:t>
      </w:r>
      <w:r w:rsidR="002C636B" w:rsidRPr="007D602E">
        <w:rPr>
          <w:rFonts w:ascii="Arial" w:hAnsi="Arial" w:cs="Arial"/>
        </w:rPr>
        <w:t>S</w:t>
      </w:r>
      <w:r w:rsidR="00AD1C9C" w:rsidRPr="007D602E">
        <w:rPr>
          <w:rFonts w:ascii="Arial" w:hAnsi="Arial" w:cs="Arial"/>
        </w:rPr>
        <w:t>pecified projects are exempt from this rule.</w:t>
      </w:r>
    </w:p>
    <w:p w14:paraId="68AA65EF" w14:textId="0A0434CB" w:rsidR="00AD1C9C" w:rsidRPr="007D602E" w:rsidRDefault="00CF4845" w:rsidP="00AD1C9C">
      <w:pPr>
        <w:ind w:left="360" w:hanging="360"/>
        <w:rPr>
          <w:rFonts w:ascii="Arial" w:hAnsi="Arial" w:cs="Arial"/>
        </w:rPr>
      </w:pPr>
      <w:r w:rsidRPr="007D602E">
        <w:rPr>
          <w:rFonts w:ascii="Arial" w:hAnsi="Arial" w:cs="Arial"/>
        </w:rPr>
        <w:t xml:space="preserve">5. </w:t>
      </w:r>
      <w:r w:rsidR="00AD1C9C" w:rsidRPr="007D602E">
        <w:rPr>
          <w:rFonts w:ascii="Arial" w:hAnsi="Arial" w:cs="Arial"/>
        </w:rPr>
        <w:tab/>
      </w:r>
      <w:r w:rsidRPr="007D602E">
        <w:rPr>
          <w:rFonts w:ascii="Arial" w:hAnsi="Arial" w:cs="Arial"/>
        </w:rPr>
        <w:t>Land must be open to the public for recreational purposes within three years from the date the final payment is issued by the State Controller’s Office.</w:t>
      </w:r>
      <w:r w:rsidR="00AD1C9C" w:rsidRPr="007D602E">
        <w:rPr>
          <w:rFonts w:ascii="Arial" w:hAnsi="Arial" w:cs="Arial"/>
        </w:rPr>
        <w:t xml:space="preserve"> </w:t>
      </w:r>
      <w:r w:rsidR="002E0A8E">
        <w:rPr>
          <w:rFonts w:ascii="Arial" w:hAnsi="Arial" w:cs="Arial"/>
        </w:rPr>
        <w:t xml:space="preserve">General Fund </w:t>
      </w:r>
      <w:r w:rsidR="00AD1C9C" w:rsidRPr="007D602E">
        <w:rPr>
          <w:rFonts w:ascii="Arial" w:hAnsi="Arial" w:cs="Arial"/>
        </w:rPr>
        <w:t>Specified projects are exempt from this rule.</w:t>
      </w:r>
    </w:p>
    <w:p w14:paraId="202431BA" w14:textId="4FAC7D62" w:rsidR="00706D6A" w:rsidRPr="007D602E" w:rsidRDefault="00CF4845" w:rsidP="00AD1C9C">
      <w:pPr>
        <w:ind w:left="360" w:hanging="360"/>
        <w:rPr>
          <w:rFonts w:ascii="Arial" w:hAnsi="Arial" w:cs="Arial"/>
        </w:rPr>
      </w:pPr>
      <w:r w:rsidRPr="007D602E">
        <w:rPr>
          <w:rFonts w:ascii="Arial" w:hAnsi="Arial" w:cs="Arial"/>
        </w:rPr>
        <w:t xml:space="preserve">6. </w:t>
      </w:r>
      <w:r w:rsidR="00AD1C9C" w:rsidRPr="007D602E">
        <w:rPr>
          <w:rFonts w:ascii="Arial" w:hAnsi="Arial" w:cs="Arial"/>
        </w:rPr>
        <w:tab/>
        <w:t>The grantee</w:t>
      </w:r>
      <w:r w:rsidRPr="007D602E">
        <w:rPr>
          <w:rFonts w:ascii="Arial" w:hAnsi="Arial" w:cs="Arial"/>
        </w:rPr>
        <w:t xml:space="preserve"> must provide Title Insurance</w:t>
      </w:r>
      <w:r w:rsidR="000669BB">
        <w:rPr>
          <w:rFonts w:ascii="Arial" w:hAnsi="Arial" w:cs="Arial"/>
        </w:rPr>
        <w:t xml:space="preserve"> at close of escrow</w:t>
      </w:r>
      <w:r w:rsidRPr="007D602E">
        <w:rPr>
          <w:rFonts w:ascii="Arial" w:hAnsi="Arial" w:cs="Arial"/>
        </w:rPr>
        <w:t>.</w:t>
      </w:r>
    </w:p>
    <w:p w14:paraId="6FF01904" w14:textId="11FE3955" w:rsidR="00CF4845" w:rsidRPr="007D602E" w:rsidRDefault="00CF4845" w:rsidP="007D602E">
      <w:pPr>
        <w:pStyle w:val="Heading1"/>
        <w:rPr>
          <w:rFonts w:ascii="Arial" w:hAnsi="Arial" w:cs="Arial"/>
          <w:b/>
          <w:bCs/>
          <w:color w:val="auto"/>
          <w:sz w:val="32"/>
          <w:szCs w:val="32"/>
        </w:rPr>
      </w:pPr>
      <w:r w:rsidRPr="007D602E">
        <w:rPr>
          <w:rFonts w:ascii="Arial" w:hAnsi="Arial" w:cs="Arial"/>
          <w:b/>
          <w:bCs/>
          <w:color w:val="auto"/>
          <w:sz w:val="32"/>
          <w:szCs w:val="32"/>
        </w:rPr>
        <w:t xml:space="preserve">Acquisition Documentation </w:t>
      </w:r>
    </w:p>
    <w:p w14:paraId="41662D89" w14:textId="69095B0A" w:rsidR="00CF4845" w:rsidRPr="007D602E" w:rsidRDefault="00CF4845" w:rsidP="00CF4845">
      <w:pPr>
        <w:rPr>
          <w:rFonts w:ascii="Arial" w:hAnsi="Arial" w:cs="Arial"/>
        </w:rPr>
      </w:pPr>
      <w:r w:rsidRPr="007D602E">
        <w:rPr>
          <w:rFonts w:ascii="Arial" w:hAnsi="Arial" w:cs="Arial"/>
        </w:rPr>
        <w:t>For each parcel to be acquired, submit the</w:t>
      </w:r>
      <w:r w:rsidR="00A13AB0" w:rsidRPr="007D602E">
        <w:rPr>
          <w:rFonts w:ascii="Arial" w:hAnsi="Arial" w:cs="Arial"/>
        </w:rPr>
        <w:t xml:space="preserve"> following</w:t>
      </w:r>
      <w:r w:rsidRPr="007D602E">
        <w:rPr>
          <w:rFonts w:ascii="Arial" w:hAnsi="Arial" w:cs="Arial"/>
        </w:rPr>
        <w:t xml:space="preserve"> </w:t>
      </w:r>
      <w:r w:rsidR="001F214F" w:rsidRPr="007D602E">
        <w:rPr>
          <w:rFonts w:ascii="Arial" w:hAnsi="Arial" w:cs="Arial"/>
        </w:rPr>
        <w:t>items</w:t>
      </w:r>
      <w:r w:rsidR="00B03D11" w:rsidRPr="007D602E">
        <w:rPr>
          <w:rFonts w:ascii="Arial" w:hAnsi="Arial" w:cs="Arial"/>
        </w:rPr>
        <w:t xml:space="preserve">. If these </w:t>
      </w:r>
      <w:r w:rsidR="00FA099D" w:rsidRPr="007D602E">
        <w:rPr>
          <w:rFonts w:ascii="Arial" w:hAnsi="Arial" w:cs="Arial"/>
        </w:rPr>
        <w:t>items</w:t>
      </w:r>
      <w:r w:rsidR="00B03D11" w:rsidRPr="007D602E">
        <w:rPr>
          <w:rFonts w:ascii="Arial" w:hAnsi="Arial" w:cs="Arial"/>
        </w:rPr>
        <w:t xml:space="preserve"> are part of the appraisal, reference the page number</w:t>
      </w:r>
      <w:r w:rsidR="007348E9" w:rsidRPr="007D602E">
        <w:rPr>
          <w:rFonts w:ascii="Arial" w:hAnsi="Arial" w:cs="Arial"/>
        </w:rPr>
        <w:t xml:space="preserve"> where</w:t>
      </w:r>
      <w:r w:rsidR="00B03D11" w:rsidRPr="007D602E">
        <w:rPr>
          <w:rFonts w:ascii="Arial" w:hAnsi="Arial" w:cs="Arial"/>
        </w:rPr>
        <w:t xml:space="preserve"> the</w:t>
      </w:r>
      <w:r w:rsidR="00FA099D" w:rsidRPr="007D602E">
        <w:rPr>
          <w:rFonts w:ascii="Arial" w:hAnsi="Arial" w:cs="Arial"/>
        </w:rPr>
        <w:t>y</w:t>
      </w:r>
      <w:r w:rsidR="00B03D11" w:rsidRPr="007D602E">
        <w:rPr>
          <w:rFonts w:ascii="Arial" w:hAnsi="Arial" w:cs="Arial"/>
        </w:rPr>
        <w:t xml:space="preserve"> can be found</w:t>
      </w:r>
      <w:r w:rsidR="000944AC" w:rsidRPr="007D602E">
        <w:rPr>
          <w:rFonts w:ascii="Arial" w:hAnsi="Arial" w:cs="Arial"/>
        </w:rPr>
        <w:t>.</w:t>
      </w:r>
      <w:r w:rsidRPr="007D602E">
        <w:rPr>
          <w:rFonts w:ascii="Arial" w:hAnsi="Arial" w:cs="Arial"/>
        </w:rPr>
        <w:t xml:space="preserve"> </w:t>
      </w:r>
    </w:p>
    <w:p w14:paraId="46FFDA20" w14:textId="3133B213" w:rsidR="00CF4845" w:rsidRPr="007D602E" w:rsidRDefault="00CF4845" w:rsidP="00AD1C9C">
      <w:pPr>
        <w:ind w:left="360" w:hanging="360"/>
        <w:rPr>
          <w:rFonts w:ascii="Arial" w:hAnsi="Arial" w:cs="Arial"/>
        </w:rPr>
      </w:pPr>
      <w:r w:rsidRPr="007D602E">
        <w:rPr>
          <w:rFonts w:ascii="Arial" w:hAnsi="Arial" w:cs="Arial"/>
        </w:rPr>
        <w:t>1.</w:t>
      </w:r>
      <w:r w:rsidR="00AD1C9C" w:rsidRPr="007D602E">
        <w:rPr>
          <w:rFonts w:ascii="Arial" w:hAnsi="Arial" w:cs="Arial"/>
        </w:rPr>
        <w:tab/>
      </w:r>
      <w:r w:rsidRPr="007D602E">
        <w:rPr>
          <w:rFonts w:ascii="Arial" w:hAnsi="Arial" w:cs="Arial"/>
        </w:rPr>
        <w:t xml:space="preserve"> An appraisal conducted within twelve months</w:t>
      </w:r>
      <w:r w:rsidR="005A5039">
        <w:rPr>
          <w:rFonts w:ascii="Arial" w:hAnsi="Arial" w:cs="Arial"/>
        </w:rPr>
        <w:t xml:space="preserve"> of the proposed acquisition</w:t>
      </w:r>
      <w:r w:rsidR="00C52ACC">
        <w:rPr>
          <w:rFonts w:ascii="Arial" w:hAnsi="Arial" w:cs="Arial"/>
        </w:rPr>
        <w:t xml:space="preserve"> date</w:t>
      </w:r>
      <w:r w:rsidRPr="007D602E">
        <w:rPr>
          <w:rFonts w:ascii="Arial" w:hAnsi="Arial" w:cs="Arial"/>
        </w:rPr>
        <w:t>.</w:t>
      </w:r>
    </w:p>
    <w:p w14:paraId="0CA0E236" w14:textId="216863F2" w:rsidR="00CF4845" w:rsidRPr="007D602E" w:rsidRDefault="00CF4845" w:rsidP="00AD1C9C">
      <w:pPr>
        <w:ind w:left="360" w:hanging="360"/>
        <w:rPr>
          <w:rFonts w:ascii="Arial" w:hAnsi="Arial" w:cs="Arial"/>
        </w:rPr>
      </w:pPr>
      <w:r w:rsidRPr="007D602E">
        <w:rPr>
          <w:rFonts w:ascii="Arial" w:hAnsi="Arial" w:cs="Arial"/>
        </w:rPr>
        <w:t>2.</w:t>
      </w:r>
      <w:r w:rsidR="00AD1C9C" w:rsidRPr="007D602E">
        <w:rPr>
          <w:rFonts w:ascii="Arial" w:hAnsi="Arial" w:cs="Arial"/>
        </w:rPr>
        <w:tab/>
      </w:r>
      <w:r w:rsidRPr="007D602E">
        <w:rPr>
          <w:rFonts w:ascii="Arial" w:hAnsi="Arial" w:cs="Arial"/>
        </w:rPr>
        <w:t xml:space="preserve">A separate letter from an independent </w:t>
      </w:r>
      <w:r w:rsidR="00E52944" w:rsidRPr="007D602E">
        <w:rPr>
          <w:rFonts w:ascii="Arial" w:hAnsi="Arial" w:cs="Arial"/>
        </w:rPr>
        <w:t xml:space="preserve">third-party appraiser certifying </w:t>
      </w:r>
      <w:r w:rsidRPr="007D602E">
        <w:rPr>
          <w:rFonts w:ascii="Arial" w:hAnsi="Arial" w:cs="Arial"/>
        </w:rPr>
        <w:t xml:space="preserve">the appraisal was </w:t>
      </w:r>
      <w:r w:rsidR="00AD1C9C" w:rsidRPr="007D602E">
        <w:rPr>
          <w:rFonts w:ascii="Arial" w:hAnsi="Arial" w:cs="Arial"/>
        </w:rPr>
        <w:t>reviewed and</w:t>
      </w:r>
      <w:r w:rsidRPr="007D602E">
        <w:rPr>
          <w:rFonts w:ascii="Arial" w:hAnsi="Arial" w:cs="Arial"/>
        </w:rPr>
        <w:t xml:space="preserve"> was completed using acceptable methods</w:t>
      </w:r>
      <w:r w:rsidR="00AD1C9C" w:rsidRPr="007D602E">
        <w:rPr>
          <w:rFonts w:ascii="Arial" w:hAnsi="Arial" w:cs="Arial"/>
        </w:rPr>
        <w:t>.</w:t>
      </w:r>
      <w:r w:rsidRPr="007D602E">
        <w:rPr>
          <w:rFonts w:ascii="Arial" w:hAnsi="Arial" w:cs="Arial"/>
        </w:rPr>
        <w:t xml:space="preserve"> </w:t>
      </w:r>
      <w:r w:rsidR="00E52944" w:rsidRPr="007D602E">
        <w:rPr>
          <w:rFonts w:ascii="Arial" w:hAnsi="Arial" w:cs="Arial"/>
        </w:rPr>
        <w:t xml:space="preserve">See </w:t>
      </w:r>
      <w:hyperlink r:id="rId6" w:tgtFrame="_blank" w:history="1">
        <w:r w:rsidR="00E52944" w:rsidRPr="007D602E">
          <w:rPr>
            <w:rStyle w:val="Hyperlink"/>
            <w:rFonts w:ascii="Arial" w:hAnsi="Arial" w:cs="Arial"/>
            <w:color w:val="046B99"/>
            <w:shd w:val="clear" w:color="auto" w:fill="FFFFFF"/>
          </w:rPr>
          <w:t>Appraisal and Appraisal Reviews for Acquisitions </w:t>
        </w:r>
      </w:hyperlink>
      <w:r w:rsidR="005C71DA" w:rsidRPr="007D602E">
        <w:rPr>
          <w:rFonts w:ascii="Arial" w:hAnsi="Arial" w:cs="Arial"/>
        </w:rPr>
        <w:t xml:space="preserve"> for detailed instructions</w:t>
      </w:r>
      <w:r w:rsidR="00E52944" w:rsidRPr="007D602E">
        <w:rPr>
          <w:rFonts w:ascii="Arial" w:hAnsi="Arial" w:cs="Arial"/>
        </w:rPr>
        <w:t xml:space="preserve">. </w:t>
      </w:r>
    </w:p>
    <w:p w14:paraId="7C1FBECB" w14:textId="6A533235" w:rsidR="00E52944" w:rsidRPr="007D602E" w:rsidRDefault="00CF4845" w:rsidP="00AD1C9C">
      <w:pPr>
        <w:ind w:left="360" w:hanging="360"/>
        <w:rPr>
          <w:rFonts w:ascii="Arial" w:hAnsi="Arial" w:cs="Arial"/>
        </w:rPr>
      </w:pPr>
      <w:r w:rsidRPr="007D602E">
        <w:rPr>
          <w:rFonts w:ascii="Arial" w:hAnsi="Arial" w:cs="Arial"/>
        </w:rPr>
        <w:t xml:space="preserve">3. </w:t>
      </w:r>
      <w:r w:rsidR="00AD1C9C" w:rsidRPr="007D602E">
        <w:rPr>
          <w:rFonts w:ascii="Arial" w:hAnsi="Arial" w:cs="Arial"/>
        </w:rPr>
        <w:tab/>
      </w:r>
      <w:r w:rsidRPr="007D602E">
        <w:rPr>
          <w:rFonts w:ascii="Arial" w:hAnsi="Arial" w:cs="Arial"/>
        </w:rPr>
        <w:t>County Assessor’s parcel map, showing parcel number</w:t>
      </w:r>
      <w:r w:rsidR="0021099B">
        <w:rPr>
          <w:rFonts w:ascii="Arial" w:hAnsi="Arial" w:cs="Arial"/>
        </w:rPr>
        <w:t>(s)</w:t>
      </w:r>
      <w:r w:rsidRPr="007D602E">
        <w:rPr>
          <w:rFonts w:ascii="Arial" w:hAnsi="Arial" w:cs="Arial"/>
        </w:rPr>
        <w:t xml:space="preserve"> and parcel</w:t>
      </w:r>
      <w:r w:rsidR="0021099B">
        <w:rPr>
          <w:rFonts w:ascii="Arial" w:hAnsi="Arial" w:cs="Arial"/>
        </w:rPr>
        <w:t>(s)</w:t>
      </w:r>
      <w:r w:rsidRPr="007D602E">
        <w:rPr>
          <w:rFonts w:ascii="Arial" w:hAnsi="Arial" w:cs="Arial"/>
        </w:rPr>
        <w:t xml:space="preserve"> to be acquired</w:t>
      </w:r>
      <w:r w:rsidR="00E52944" w:rsidRPr="007D602E">
        <w:rPr>
          <w:rFonts w:ascii="Arial" w:hAnsi="Arial" w:cs="Arial"/>
        </w:rPr>
        <w:t>.</w:t>
      </w:r>
      <w:r w:rsidR="00821CFC" w:rsidRPr="007D602E">
        <w:rPr>
          <w:rFonts w:ascii="Arial" w:hAnsi="Arial" w:cs="Arial"/>
        </w:rPr>
        <w:t xml:space="preserve"> </w:t>
      </w:r>
    </w:p>
    <w:p w14:paraId="50DCFD21" w14:textId="198EAC3D" w:rsidR="00CF4845" w:rsidRPr="007D602E" w:rsidRDefault="00CF4845" w:rsidP="00AD1C9C">
      <w:pPr>
        <w:ind w:left="360" w:hanging="360"/>
        <w:rPr>
          <w:rFonts w:ascii="Arial" w:hAnsi="Arial" w:cs="Arial"/>
        </w:rPr>
      </w:pPr>
      <w:r w:rsidRPr="007D602E">
        <w:rPr>
          <w:rFonts w:ascii="Arial" w:hAnsi="Arial" w:cs="Arial"/>
        </w:rPr>
        <w:t>4.</w:t>
      </w:r>
      <w:r w:rsidR="00E52944" w:rsidRPr="007D602E">
        <w:rPr>
          <w:rFonts w:ascii="Arial" w:hAnsi="Arial" w:cs="Arial"/>
        </w:rPr>
        <w:tab/>
      </w:r>
      <w:r w:rsidRPr="007D602E">
        <w:rPr>
          <w:rFonts w:ascii="Arial" w:hAnsi="Arial" w:cs="Arial"/>
        </w:rPr>
        <w:t>Estimated value of each parcel to be acquired with a description of how that value was determined (such as</w:t>
      </w:r>
      <w:r w:rsidR="00906A5F">
        <w:rPr>
          <w:rFonts w:ascii="Arial" w:hAnsi="Arial" w:cs="Arial"/>
        </w:rPr>
        <w:t xml:space="preserve"> appraisal, </w:t>
      </w:r>
      <w:r w:rsidRPr="007D602E">
        <w:rPr>
          <w:rFonts w:ascii="Arial" w:hAnsi="Arial" w:cs="Arial"/>
        </w:rPr>
        <w:t xml:space="preserve">listed price on MLS, in-house estimation, website evaluation, </w:t>
      </w:r>
      <w:r w:rsidR="00263099">
        <w:rPr>
          <w:rFonts w:ascii="Arial" w:hAnsi="Arial" w:cs="Arial"/>
        </w:rPr>
        <w:t xml:space="preserve">or </w:t>
      </w:r>
      <w:r w:rsidRPr="007D602E">
        <w:rPr>
          <w:rFonts w:ascii="Arial" w:hAnsi="Arial" w:cs="Arial"/>
        </w:rPr>
        <w:t>assessed value)</w:t>
      </w:r>
      <w:r w:rsidR="00E52944" w:rsidRPr="007D602E">
        <w:rPr>
          <w:rFonts w:ascii="Arial" w:hAnsi="Arial" w:cs="Arial"/>
        </w:rPr>
        <w:t>.</w:t>
      </w:r>
      <w:r w:rsidRPr="007D602E">
        <w:rPr>
          <w:rFonts w:ascii="Arial" w:hAnsi="Arial" w:cs="Arial"/>
        </w:rPr>
        <w:t xml:space="preserve"> </w:t>
      </w:r>
    </w:p>
    <w:p w14:paraId="7A872C67" w14:textId="071D93BB" w:rsidR="00CF4845" w:rsidRPr="007D602E" w:rsidRDefault="00CF4845" w:rsidP="00AD1C9C">
      <w:pPr>
        <w:ind w:left="360" w:hanging="360"/>
        <w:rPr>
          <w:rFonts w:ascii="Arial" w:hAnsi="Arial" w:cs="Arial"/>
        </w:rPr>
      </w:pPr>
      <w:r w:rsidRPr="007D602E">
        <w:rPr>
          <w:rFonts w:ascii="Arial" w:hAnsi="Arial" w:cs="Arial"/>
        </w:rPr>
        <w:t xml:space="preserve">5. </w:t>
      </w:r>
      <w:r w:rsidR="00AD1C9C" w:rsidRPr="007D602E">
        <w:rPr>
          <w:rFonts w:ascii="Arial" w:hAnsi="Arial" w:cs="Arial"/>
        </w:rPr>
        <w:tab/>
      </w:r>
      <w:r w:rsidRPr="007D602E">
        <w:rPr>
          <w:rFonts w:ascii="Arial" w:hAnsi="Arial" w:cs="Arial"/>
        </w:rPr>
        <w:t>Acreage of each parcel to be acquired</w:t>
      </w:r>
      <w:r w:rsidR="00E52944" w:rsidRPr="007D602E">
        <w:rPr>
          <w:rFonts w:ascii="Arial" w:hAnsi="Arial" w:cs="Arial"/>
        </w:rPr>
        <w:t>.</w:t>
      </w:r>
      <w:r w:rsidR="00821CFC" w:rsidRPr="007D602E">
        <w:rPr>
          <w:rFonts w:ascii="Arial" w:hAnsi="Arial" w:cs="Arial"/>
        </w:rPr>
        <w:t xml:space="preserve"> </w:t>
      </w:r>
    </w:p>
    <w:p w14:paraId="70A02B68" w14:textId="61049038" w:rsidR="00CF4845" w:rsidRPr="007D602E" w:rsidRDefault="00CF4845" w:rsidP="00AD1C9C">
      <w:pPr>
        <w:ind w:left="360" w:hanging="360"/>
        <w:rPr>
          <w:rFonts w:ascii="Arial" w:hAnsi="Arial" w:cs="Arial"/>
        </w:rPr>
      </w:pPr>
      <w:r w:rsidRPr="007D602E">
        <w:rPr>
          <w:rFonts w:ascii="Arial" w:hAnsi="Arial" w:cs="Arial"/>
        </w:rPr>
        <w:lastRenderedPageBreak/>
        <w:t xml:space="preserve">6. </w:t>
      </w:r>
      <w:r w:rsidR="00AD1C9C" w:rsidRPr="007D602E">
        <w:rPr>
          <w:rFonts w:ascii="Arial" w:hAnsi="Arial" w:cs="Arial"/>
        </w:rPr>
        <w:tab/>
      </w:r>
      <w:r w:rsidRPr="007D602E">
        <w:rPr>
          <w:rFonts w:ascii="Arial" w:hAnsi="Arial" w:cs="Arial"/>
        </w:rPr>
        <w:t>A description of any encumbrances that will remain on the property, such as grazing, timber, mineral rights or easements.</w:t>
      </w:r>
      <w:r w:rsidR="00EC6B6A" w:rsidRPr="007D602E">
        <w:rPr>
          <w:rFonts w:ascii="Arial" w:hAnsi="Arial" w:cs="Arial"/>
        </w:rPr>
        <w:t xml:space="preserve"> </w:t>
      </w:r>
    </w:p>
    <w:p w14:paraId="5787F337" w14:textId="77777777" w:rsidR="00A67F48" w:rsidRPr="007D602E" w:rsidRDefault="00CF4845" w:rsidP="00A67F48">
      <w:pPr>
        <w:ind w:left="360" w:hanging="360"/>
        <w:rPr>
          <w:rFonts w:ascii="Arial" w:hAnsi="Arial" w:cs="Arial"/>
        </w:rPr>
      </w:pPr>
      <w:r w:rsidRPr="007D602E">
        <w:rPr>
          <w:rFonts w:ascii="Arial" w:hAnsi="Arial" w:cs="Arial"/>
        </w:rPr>
        <w:t xml:space="preserve">7. </w:t>
      </w:r>
      <w:r w:rsidR="00AD1C9C" w:rsidRPr="007D602E">
        <w:rPr>
          <w:rFonts w:ascii="Arial" w:hAnsi="Arial" w:cs="Arial"/>
        </w:rPr>
        <w:tab/>
      </w:r>
      <w:r w:rsidRPr="007D602E">
        <w:rPr>
          <w:rFonts w:ascii="Arial" w:hAnsi="Arial" w:cs="Arial"/>
        </w:rPr>
        <w:t xml:space="preserve">A brief description of the intended recreational use of the land with the estimated date by which the site will be open to the public for recreational purposes. </w:t>
      </w:r>
      <w:r w:rsidR="00A67F48">
        <w:rPr>
          <w:rFonts w:ascii="Arial" w:hAnsi="Arial" w:cs="Arial"/>
        </w:rPr>
        <w:t xml:space="preserve">General Fund </w:t>
      </w:r>
      <w:r w:rsidR="00A67F48" w:rsidRPr="007D602E">
        <w:rPr>
          <w:rFonts w:ascii="Arial" w:hAnsi="Arial" w:cs="Arial"/>
        </w:rPr>
        <w:t>Specified projects are exempt from this rule.</w:t>
      </w:r>
    </w:p>
    <w:p w14:paraId="6AA18F4B" w14:textId="3BF9425D" w:rsidR="00CF4845" w:rsidRPr="007D602E" w:rsidRDefault="00CF4845" w:rsidP="00CF4845">
      <w:pPr>
        <w:rPr>
          <w:rFonts w:ascii="Arial" w:hAnsi="Arial" w:cs="Arial"/>
          <w:b/>
          <w:bCs/>
        </w:rPr>
      </w:pPr>
      <w:r w:rsidRPr="007D602E">
        <w:rPr>
          <w:rFonts w:ascii="Arial" w:hAnsi="Arial" w:cs="Arial"/>
          <w:b/>
          <w:bCs/>
        </w:rPr>
        <w:t xml:space="preserve">For easement acquisitions, in addition to the requirements above, provide: </w:t>
      </w:r>
    </w:p>
    <w:p w14:paraId="7B8A8C4F" w14:textId="25DF0D52" w:rsidR="00CF4845" w:rsidRPr="007D602E" w:rsidRDefault="00CF4845" w:rsidP="00E52944">
      <w:pPr>
        <w:ind w:left="360" w:hanging="360"/>
        <w:rPr>
          <w:rFonts w:ascii="Arial" w:hAnsi="Arial" w:cs="Arial"/>
        </w:rPr>
      </w:pPr>
      <w:r w:rsidRPr="007D602E">
        <w:rPr>
          <w:rFonts w:ascii="Arial" w:hAnsi="Arial" w:cs="Arial"/>
        </w:rPr>
        <w:t xml:space="preserve">8. </w:t>
      </w:r>
      <w:r w:rsidR="00E52944" w:rsidRPr="007D602E">
        <w:rPr>
          <w:rFonts w:ascii="Arial" w:hAnsi="Arial" w:cs="Arial"/>
        </w:rPr>
        <w:tab/>
      </w:r>
      <w:r w:rsidRPr="007D602E">
        <w:rPr>
          <w:rFonts w:ascii="Arial" w:hAnsi="Arial" w:cs="Arial"/>
        </w:rPr>
        <w:t xml:space="preserve">A copy of the proposed easement guaranteeing the authority to use the property for the purposes specified in the application. </w:t>
      </w:r>
    </w:p>
    <w:p w14:paraId="70E05506" w14:textId="6485C95B" w:rsidR="00CF4845" w:rsidRPr="007D602E" w:rsidRDefault="00CF4845" w:rsidP="00CF4845">
      <w:pPr>
        <w:rPr>
          <w:rFonts w:ascii="Arial" w:hAnsi="Arial" w:cs="Arial"/>
          <w:b/>
          <w:bCs/>
        </w:rPr>
      </w:pPr>
      <w:r w:rsidRPr="007D602E">
        <w:rPr>
          <w:rFonts w:ascii="Arial" w:hAnsi="Arial" w:cs="Arial"/>
          <w:b/>
          <w:bCs/>
        </w:rPr>
        <w:t xml:space="preserve">For relocation costs, in addition to the requirements above, provide: </w:t>
      </w:r>
    </w:p>
    <w:p w14:paraId="37ACFA39" w14:textId="6C598B2C" w:rsidR="00CF4845" w:rsidRPr="007D602E" w:rsidRDefault="00CF4845" w:rsidP="00E52944">
      <w:pPr>
        <w:ind w:left="360" w:hanging="360"/>
        <w:rPr>
          <w:rFonts w:ascii="Arial" w:hAnsi="Arial" w:cs="Arial"/>
        </w:rPr>
      </w:pPr>
      <w:r w:rsidRPr="007D602E">
        <w:rPr>
          <w:rFonts w:ascii="Arial" w:hAnsi="Arial" w:cs="Arial"/>
        </w:rPr>
        <w:t xml:space="preserve">9. </w:t>
      </w:r>
      <w:r w:rsidR="00E52944" w:rsidRPr="007D602E">
        <w:rPr>
          <w:rFonts w:ascii="Arial" w:hAnsi="Arial" w:cs="Arial"/>
        </w:rPr>
        <w:tab/>
      </w:r>
      <w:r w:rsidRPr="007D602E">
        <w:rPr>
          <w:rFonts w:ascii="Arial" w:hAnsi="Arial" w:cs="Arial"/>
        </w:rPr>
        <w:t>A letter signed by the authorized representative</w:t>
      </w:r>
      <w:r w:rsidR="009415EA" w:rsidRPr="007D602E">
        <w:rPr>
          <w:rFonts w:ascii="Arial" w:hAnsi="Arial" w:cs="Arial"/>
        </w:rPr>
        <w:t xml:space="preserve"> </w:t>
      </w:r>
      <w:r w:rsidR="00D37364" w:rsidRPr="007D602E">
        <w:rPr>
          <w:rFonts w:ascii="Arial" w:hAnsi="Arial" w:cs="Arial"/>
        </w:rPr>
        <w:t>designated</w:t>
      </w:r>
      <w:r w:rsidR="009415EA" w:rsidRPr="007D602E">
        <w:rPr>
          <w:rFonts w:ascii="Arial" w:hAnsi="Arial" w:cs="Arial"/>
        </w:rPr>
        <w:t xml:space="preserve"> in the</w:t>
      </w:r>
      <w:r w:rsidR="00E52944" w:rsidRPr="007D602E">
        <w:rPr>
          <w:rFonts w:ascii="Arial" w:hAnsi="Arial" w:cs="Arial"/>
        </w:rPr>
        <w:t xml:space="preserve"> </w:t>
      </w:r>
      <w:r w:rsidRPr="007D602E">
        <w:rPr>
          <w:rFonts w:ascii="Arial" w:hAnsi="Arial" w:cs="Arial"/>
        </w:rPr>
        <w:t>resolution</w:t>
      </w:r>
      <w:r w:rsidR="00F171E3" w:rsidRPr="007D602E">
        <w:rPr>
          <w:rFonts w:ascii="Arial" w:hAnsi="Arial" w:cs="Arial"/>
        </w:rPr>
        <w:t>,</w:t>
      </w:r>
      <w:r w:rsidR="00E52944" w:rsidRPr="007D602E">
        <w:rPr>
          <w:rFonts w:ascii="Arial" w:hAnsi="Arial" w:cs="Arial"/>
        </w:rPr>
        <w:t xml:space="preserve"> </w:t>
      </w:r>
      <w:r w:rsidRPr="007D602E">
        <w:rPr>
          <w:rFonts w:ascii="Arial" w:hAnsi="Arial" w:cs="Arial"/>
        </w:rPr>
        <w:t>listing the relocation costs for each displaced tenant, certifying that the relocation amount does not exceed the maximum allowed pursuant to Government Code §7260-7277.</w:t>
      </w:r>
    </w:p>
    <w:p w14:paraId="6B8B7CB8" w14:textId="4DA82B5D" w:rsidR="00E52944" w:rsidRPr="007D602E" w:rsidRDefault="00FB2A85" w:rsidP="007D602E">
      <w:pPr>
        <w:pStyle w:val="Heading1"/>
        <w:rPr>
          <w:rFonts w:ascii="Arial" w:hAnsi="Arial" w:cs="Arial"/>
          <w:b/>
          <w:bCs/>
          <w:color w:val="auto"/>
          <w:sz w:val="32"/>
          <w:szCs w:val="32"/>
        </w:rPr>
      </w:pPr>
      <w:r w:rsidRPr="007D602E">
        <w:rPr>
          <w:rFonts w:ascii="Arial" w:hAnsi="Arial" w:cs="Arial"/>
          <w:b/>
          <w:bCs/>
          <w:color w:val="auto"/>
          <w:sz w:val="32"/>
          <w:szCs w:val="32"/>
        </w:rPr>
        <w:t>Acquisition Costs</w:t>
      </w:r>
    </w:p>
    <w:p w14:paraId="31EEFEAA" w14:textId="77777777" w:rsidR="00670A77" w:rsidRPr="007D602E" w:rsidRDefault="00FB2A85" w:rsidP="007D602E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7D602E">
        <w:rPr>
          <w:rFonts w:ascii="Arial" w:hAnsi="Arial" w:cs="Arial"/>
          <w:b/>
          <w:bCs/>
          <w:color w:val="auto"/>
          <w:sz w:val="24"/>
          <w:szCs w:val="24"/>
        </w:rPr>
        <w:t xml:space="preserve">Eligible Acquisition Costs  </w:t>
      </w:r>
    </w:p>
    <w:p w14:paraId="1975E084" w14:textId="77777777" w:rsidR="00BE2963" w:rsidRPr="007D602E" w:rsidRDefault="00BE2963" w:rsidP="0025080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D602E">
        <w:rPr>
          <w:rFonts w:ascii="Arial" w:hAnsi="Arial" w:cs="Arial"/>
        </w:rPr>
        <w:t>In-house employee services.</w:t>
      </w:r>
    </w:p>
    <w:p w14:paraId="4AE6FB59" w14:textId="2F4E4145" w:rsidR="00BE2963" w:rsidRPr="007D602E" w:rsidRDefault="00BE2963" w:rsidP="0025080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D602E">
        <w:rPr>
          <w:rFonts w:ascii="Arial" w:hAnsi="Arial" w:cs="Arial"/>
        </w:rPr>
        <w:t>Grant/project</w:t>
      </w:r>
      <w:r w:rsidR="00FB2A85" w:rsidRPr="007D602E">
        <w:rPr>
          <w:rFonts w:ascii="Arial" w:hAnsi="Arial" w:cs="Arial"/>
        </w:rPr>
        <w:t xml:space="preserve"> administration and accounting</w:t>
      </w:r>
      <w:r w:rsidR="00250809" w:rsidRPr="007D602E">
        <w:rPr>
          <w:rFonts w:ascii="Arial" w:hAnsi="Arial" w:cs="Arial"/>
        </w:rPr>
        <w:t>.</w:t>
      </w:r>
      <w:r w:rsidR="00FB2A85" w:rsidRPr="007D602E">
        <w:rPr>
          <w:rFonts w:ascii="Arial" w:hAnsi="Arial" w:cs="Arial"/>
        </w:rPr>
        <w:t xml:space="preserve"> </w:t>
      </w:r>
    </w:p>
    <w:p w14:paraId="09C2651A" w14:textId="36AD3EC8" w:rsidR="00BE2963" w:rsidRPr="007D602E" w:rsidRDefault="00FB2A85" w:rsidP="0025080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D602E">
        <w:rPr>
          <w:rFonts w:ascii="Arial" w:hAnsi="Arial" w:cs="Arial"/>
        </w:rPr>
        <w:t>Public meetings/focus groups/design workshop</w:t>
      </w:r>
      <w:r w:rsidR="00BE2963" w:rsidRPr="007D602E">
        <w:rPr>
          <w:rFonts w:ascii="Arial" w:hAnsi="Arial" w:cs="Arial"/>
        </w:rPr>
        <w:t>s</w:t>
      </w:r>
      <w:r w:rsidR="00250809" w:rsidRPr="007D602E">
        <w:rPr>
          <w:rFonts w:ascii="Arial" w:hAnsi="Arial" w:cs="Arial"/>
        </w:rPr>
        <w:t>.</w:t>
      </w:r>
      <w:r w:rsidRPr="007D602E">
        <w:rPr>
          <w:rFonts w:ascii="Arial" w:hAnsi="Arial" w:cs="Arial"/>
        </w:rPr>
        <w:t xml:space="preserve"> </w:t>
      </w:r>
    </w:p>
    <w:p w14:paraId="2FB75011" w14:textId="26877C03" w:rsidR="00250809" w:rsidRPr="007D602E" w:rsidRDefault="00FB2A85" w:rsidP="0025080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D602E">
        <w:rPr>
          <w:rFonts w:ascii="Arial" w:hAnsi="Arial" w:cs="Arial"/>
        </w:rPr>
        <w:t>Appraisals, escrow fees, surveying, other costs associated with acquisition</w:t>
      </w:r>
      <w:r w:rsidR="00250809" w:rsidRPr="007D602E">
        <w:rPr>
          <w:rFonts w:ascii="Arial" w:hAnsi="Arial" w:cs="Arial"/>
        </w:rPr>
        <w:t>.</w:t>
      </w:r>
      <w:r w:rsidRPr="007D602E">
        <w:rPr>
          <w:rFonts w:ascii="Arial" w:hAnsi="Arial" w:cs="Arial"/>
        </w:rPr>
        <w:t xml:space="preserve">  </w:t>
      </w:r>
    </w:p>
    <w:p w14:paraId="4A2A917C" w14:textId="4B5F1AE9" w:rsidR="00250809" w:rsidRPr="007D602E" w:rsidRDefault="00FB2A85" w:rsidP="0025080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D602E">
        <w:rPr>
          <w:rFonts w:ascii="Arial" w:hAnsi="Arial" w:cs="Arial"/>
        </w:rPr>
        <w:t>Cost of land</w:t>
      </w:r>
      <w:r w:rsidR="004A5D5D" w:rsidRPr="007D602E">
        <w:rPr>
          <w:rFonts w:ascii="Arial" w:hAnsi="Arial" w:cs="Arial"/>
        </w:rPr>
        <w:t xml:space="preserve"> or appraised value, whichever is less.</w:t>
      </w:r>
      <w:r w:rsidRPr="007D602E">
        <w:rPr>
          <w:rFonts w:ascii="Arial" w:hAnsi="Arial" w:cs="Arial"/>
        </w:rPr>
        <w:t xml:space="preserve"> </w:t>
      </w:r>
    </w:p>
    <w:p w14:paraId="1487D296" w14:textId="77777777" w:rsidR="00250809" w:rsidRPr="007D602E" w:rsidRDefault="00250809" w:rsidP="00250809">
      <w:pPr>
        <w:pStyle w:val="ListParagraph"/>
        <w:ind w:left="360"/>
        <w:rPr>
          <w:rFonts w:ascii="Arial" w:hAnsi="Arial" w:cs="Arial"/>
        </w:rPr>
      </w:pPr>
    </w:p>
    <w:p w14:paraId="78EBB6DC" w14:textId="47914FA7" w:rsidR="000E105A" w:rsidRPr="007D602E" w:rsidRDefault="00FB2A85" w:rsidP="006E2AB2">
      <w:pPr>
        <w:pStyle w:val="Heading2"/>
        <w:spacing w:after="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7D602E">
        <w:rPr>
          <w:rFonts w:ascii="Arial" w:hAnsi="Arial" w:cs="Arial"/>
          <w:b/>
          <w:bCs/>
          <w:color w:val="auto"/>
          <w:sz w:val="24"/>
          <w:szCs w:val="24"/>
        </w:rPr>
        <w:t xml:space="preserve">Ineligible Acquisition Costs </w:t>
      </w:r>
    </w:p>
    <w:p w14:paraId="2162CC7A" w14:textId="77777777" w:rsidR="000E105A" w:rsidRPr="007D602E" w:rsidRDefault="00FB2A85" w:rsidP="000E10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D602E">
        <w:rPr>
          <w:rFonts w:ascii="Arial" w:hAnsi="Arial" w:cs="Arial"/>
        </w:rPr>
        <w:t xml:space="preserve">Costs to fulfill any mitigation requirements imposed by law (PRC §80020) </w:t>
      </w:r>
    </w:p>
    <w:p w14:paraId="0500DF96" w14:textId="61299372" w:rsidR="000E105A" w:rsidRPr="007D602E" w:rsidRDefault="00FB2A85" w:rsidP="000E10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D602E">
        <w:rPr>
          <w:rFonts w:ascii="Arial" w:hAnsi="Arial" w:cs="Arial"/>
        </w:rPr>
        <w:t>Acquisitions where purchase price is greater than appraised value</w:t>
      </w:r>
      <w:r w:rsidR="000E105A" w:rsidRPr="007D602E">
        <w:rPr>
          <w:rFonts w:ascii="Arial" w:hAnsi="Arial" w:cs="Arial"/>
        </w:rPr>
        <w:t>.</w:t>
      </w:r>
      <w:r w:rsidRPr="007D602E">
        <w:rPr>
          <w:rFonts w:ascii="Arial" w:hAnsi="Arial" w:cs="Arial"/>
        </w:rPr>
        <w:t xml:space="preserve"> </w:t>
      </w:r>
    </w:p>
    <w:p w14:paraId="4857DB25" w14:textId="6D96D197" w:rsidR="000E105A" w:rsidRPr="007D602E" w:rsidRDefault="00FB2A85" w:rsidP="000E10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D602E">
        <w:rPr>
          <w:rFonts w:ascii="Arial" w:hAnsi="Arial" w:cs="Arial"/>
        </w:rPr>
        <w:t>Costs for land acquired through eminent domain or condemnation</w:t>
      </w:r>
      <w:r w:rsidR="000E105A" w:rsidRPr="007D602E">
        <w:rPr>
          <w:rFonts w:ascii="Arial" w:hAnsi="Arial" w:cs="Arial"/>
        </w:rPr>
        <w:t>.</w:t>
      </w:r>
      <w:r w:rsidRPr="007D602E">
        <w:rPr>
          <w:rFonts w:ascii="Arial" w:hAnsi="Arial" w:cs="Arial"/>
        </w:rPr>
        <w:t xml:space="preserve"> </w:t>
      </w:r>
    </w:p>
    <w:p w14:paraId="7F087DBE" w14:textId="4DF36CB7" w:rsidR="00FB2A85" w:rsidRPr="007D602E" w:rsidRDefault="00FB2A85" w:rsidP="000E10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D602E">
        <w:rPr>
          <w:rFonts w:ascii="Arial" w:hAnsi="Arial" w:cs="Arial"/>
        </w:rPr>
        <w:t xml:space="preserve">Costs incurred outside the </w:t>
      </w:r>
      <w:r w:rsidR="000E105A" w:rsidRPr="007D602E">
        <w:rPr>
          <w:rFonts w:ascii="Arial" w:hAnsi="Arial" w:cs="Arial"/>
        </w:rPr>
        <w:t>grant</w:t>
      </w:r>
      <w:r w:rsidRPr="007D602E">
        <w:rPr>
          <w:rFonts w:ascii="Arial" w:hAnsi="Arial" w:cs="Arial"/>
        </w:rPr>
        <w:t xml:space="preserve"> performance period</w:t>
      </w:r>
      <w:r w:rsidR="000E105A" w:rsidRPr="007D602E">
        <w:rPr>
          <w:rFonts w:ascii="Arial" w:hAnsi="Arial" w:cs="Arial"/>
        </w:rPr>
        <w:t>.</w:t>
      </w:r>
    </w:p>
    <w:p w14:paraId="3816A70A" w14:textId="20D0CCDC" w:rsidR="00E52944" w:rsidRPr="00CB0D9B" w:rsidRDefault="00F97449" w:rsidP="00CB0D9B">
      <w:pPr>
        <w:pStyle w:val="Heading1"/>
        <w:rPr>
          <w:rFonts w:ascii="Arial" w:hAnsi="Arial" w:cs="Arial"/>
          <w:b/>
          <w:bCs/>
          <w:color w:val="auto"/>
          <w:sz w:val="32"/>
          <w:szCs w:val="32"/>
        </w:rPr>
      </w:pPr>
      <w:r w:rsidRPr="00CB0D9B">
        <w:rPr>
          <w:rFonts w:ascii="Arial" w:hAnsi="Arial" w:cs="Arial"/>
          <w:b/>
          <w:bCs/>
          <w:color w:val="auto"/>
          <w:sz w:val="32"/>
          <w:szCs w:val="32"/>
        </w:rPr>
        <w:t xml:space="preserve">Payment </w:t>
      </w:r>
      <w:r w:rsidR="00ED7DE7" w:rsidRPr="00CB0D9B">
        <w:rPr>
          <w:rFonts w:ascii="Arial" w:hAnsi="Arial" w:cs="Arial"/>
          <w:b/>
          <w:bCs/>
          <w:color w:val="auto"/>
          <w:sz w:val="32"/>
          <w:szCs w:val="32"/>
        </w:rPr>
        <w:t>Documentation</w:t>
      </w:r>
    </w:p>
    <w:p w14:paraId="3BC102C7" w14:textId="349AD759" w:rsidR="00ED7DE7" w:rsidRPr="007D602E" w:rsidRDefault="00266541" w:rsidP="00E52944">
      <w:pPr>
        <w:rPr>
          <w:rFonts w:ascii="Arial" w:hAnsi="Arial" w:cs="Arial"/>
        </w:rPr>
      </w:pPr>
      <w:r w:rsidRPr="007D602E">
        <w:rPr>
          <w:rFonts w:ascii="Arial" w:hAnsi="Arial" w:cs="Arial"/>
        </w:rPr>
        <w:t>A</w:t>
      </w:r>
      <w:r w:rsidR="00B70DEC" w:rsidRPr="007D602E">
        <w:rPr>
          <w:rFonts w:ascii="Arial" w:hAnsi="Arial" w:cs="Arial"/>
        </w:rPr>
        <w:t xml:space="preserve">ll applicable </w:t>
      </w:r>
      <w:r w:rsidR="004A5D5D" w:rsidRPr="007D602E">
        <w:rPr>
          <w:rFonts w:ascii="Arial" w:hAnsi="Arial" w:cs="Arial"/>
        </w:rPr>
        <w:t xml:space="preserve">application and </w:t>
      </w:r>
      <w:r w:rsidR="00B70DEC" w:rsidRPr="007D602E">
        <w:rPr>
          <w:rFonts w:ascii="Arial" w:hAnsi="Arial" w:cs="Arial"/>
        </w:rPr>
        <w:t>a</w:t>
      </w:r>
      <w:r w:rsidRPr="007D602E">
        <w:rPr>
          <w:rFonts w:ascii="Arial" w:hAnsi="Arial" w:cs="Arial"/>
        </w:rPr>
        <w:t xml:space="preserve">cquisition documentation must be </w:t>
      </w:r>
      <w:r w:rsidR="00926293" w:rsidRPr="007D602E">
        <w:rPr>
          <w:rFonts w:ascii="Arial" w:hAnsi="Arial" w:cs="Arial"/>
        </w:rPr>
        <w:t>s</w:t>
      </w:r>
      <w:r w:rsidR="00B70DEC" w:rsidRPr="007D602E">
        <w:rPr>
          <w:rFonts w:ascii="Arial" w:hAnsi="Arial" w:cs="Arial"/>
        </w:rPr>
        <w:t>ubmitted</w:t>
      </w:r>
      <w:r w:rsidR="00926293" w:rsidRPr="007D602E">
        <w:rPr>
          <w:rFonts w:ascii="Arial" w:hAnsi="Arial" w:cs="Arial"/>
        </w:rPr>
        <w:t xml:space="preserve"> prior to requesting payments. </w:t>
      </w:r>
      <w:r w:rsidR="00200F3C" w:rsidRPr="007D602E">
        <w:rPr>
          <w:rFonts w:ascii="Arial" w:hAnsi="Arial" w:cs="Arial"/>
        </w:rPr>
        <w:t>Grantees</w:t>
      </w:r>
      <w:r w:rsidR="005D4B55" w:rsidRPr="007D602E">
        <w:rPr>
          <w:rFonts w:ascii="Arial" w:hAnsi="Arial" w:cs="Arial"/>
        </w:rPr>
        <w:t xml:space="preserve"> should inform the Project Officer</w:t>
      </w:r>
      <w:r w:rsidR="003351BF" w:rsidRPr="007D602E">
        <w:rPr>
          <w:rFonts w:ascii="Arial" w:hAnsi="Arial" w:cs="Arial"/>
        </w:rPr>
        <w:t xml:space="preserve"> three months </w:t>
      </w:r>
      <w:r w:rsidR="00D91DC8" w:rsidRPr="007D602E">
        <w:rPr>
          <w:rFonts w:ascii="Arial" w:hAnsi="Arial" w:cs="Arial"/>
        </w:rPr>
        <w:t>prior to</w:t>
      </w:r>
      <w:r w:rsidR="00BF6F3D" w:rsidRPr="007D602E">
        <w:rPr>
          <w:rFonts w:ascii="Arial" w:hAnsi="Arial" w:cs="Arial"/>
        </w:rPr>
        <w:t xml:space="preserve"> </w:t>
      </w:r>
      <w:r w:rsidR="00D4295C" w:rsidRPr="007D602E">
        <w:rPr>
          <w:rFonts w:ascii="Arial" w:hAnsi="Arial" w:cs="Arial"/>
        </w:rPr>
        <w:t>escrow closing</w:t>
      </w:r>
      <w:r w:rsidR="000B68DA" w:rsidRPr="007D602E">
        <w:rPr>
          <w:rFonts w:ascii="Arial" w:hAnsi="Arial" w:cs="Arial"/>
        </w:rPr>
        <w:t xml:space="preserve"> whether</w:t>
      </w:r>
      <w:r w:rsidR="00070FD7" w:rsidRPr="007D602E">
        <w:rPr>
          <w:rFonts w:ascii="Arial" w:hAnsi="Arial" w:cs="Arial"/>
        </w:rPr>
        <w:t xml:space="preserve"> they will be seeking an advance into escrow or </w:t>
      </w:r>
      <w:r w:rsidR="000B68DA" w:rsidRPr="007D602E">
        <w:rPr>
          <w:rFonts w:ascii="Arial" w:hAnsi="Arial" w:cs="Arial"/>
        </w:rPr>
        <w:t>request</w:t>
      </w:r>
      <w:r w:rsidR="001940EC" w:rsidRPr="007D602E">
        <w:rPr>
          <w:rFonts w:ascii="Arial" w:hAnsi="Arial" w:cs="Arial"/>
        </w:rPr>
        <w:t>ing</w:t>
      </w:r>
      <w:r w:rsidR="000B68DA" w:rsidRPr="007D602E">
        <w:rPr>
          <w:rFonts w:ascii="Arial" w:hAnsi="Arial" w:cs="Arial"/>
        </w:rPr>
        <w:t xml:space="preserve"> </w:t>
      </w:r>
      <w:r w:rsidR="00070FD7" w:rsidRPr="007D602E">
        <w:rPr>
          <w:rFonts w:ascii="Arial" w:hAnsi="Arial" w:cs="Arial"/>
        </w:rPr>
        <w:t>reimbursement after escrow closes.</w:t>
      </w:r>
      <w:r w:rsidR="00CF6675" w:rsidRPr="007D602E">
        <w:rPr>
          <w:rFonts w:ascii="Arial" w:hAnsi="Arial" w:cs="Arial"/>
        </w:rPr>
        <w:t xml:space="preserve"> </w:t>
      </w:r>
      <w:r w:rsidR="001D3F1A" w:rsidRPr="007D602E">
        <w:rPr>
          <w:rFonts w:ascii="Arial" w:hAnsi="Arial" w:cs="Arial"/>
        </w:rPr>
        <w:t xml:space="preserve">A physical check will be issued </w:t>
      </w:r>
      <w:r w:rsidR="00CF6675" w:rsidRPr="007D602E">
        <w:rPr>
          <w:rFonts w:ascii="Arial" w:hAnsi="Arial" w:cs="Arial"/>
        </w:rPr>
        <w:t xml:space="preserve">by </w:t>
      </w:r>
      <w:r w:rsidR="00C82A88">
        <w:rPr>
          <w:rFonts w:ascii="Arial" w:hAnsi="Arial" w:cs="Arial"/>
        </w:rPr>
        <w:t>State Controller’s Office</w:t>
      </w:r>
      <w:r w:rsidR="00FB384C">
        <w:rPr>
          <w:rFonts w:ascii="Arial" w:hAnsi="Arial" w:cs="Arial"/>
        </w:rPr>
        <w:t xml:space="preserve"> (SCO)</w:t>
      </w:r>
      <w:r w:rsidR="00CF6675" w:rsidRPr="007D602E">
        <w:rPr>
          <w:rFonts w:ascii="Arial" w:hAnsi="Arial" w:cs="Arial"/>
        </w:rPr>
        <w:t xml:space="preserve"> </w:t>
      </w:r>
      <w:r w:rsidR="001D3F1A" w:rsidRPr="007D602E">
        <w:rPr>
          <w:rFonts w:ascii="Arial" w:hAnsi="Arial" w:cs="Arial"/>
        </w:rPr>
        <w:t xml:space="preserve">and sent </w:t>
      </w:r>
      <w:r w:rsidR="006202D7" w:rsidRPr="007D602E">
        <w:rPr>
          <w:rFonts w:ascii="Arial" w:hAnsi="Arial" w:cs="Arial"/>
        </w:rPr>
        <w:t>through standard U.S. Mail.</w:t>
      </w:r>
      <w:r w:rsidR="00B03CB4" w:rsidRPr="007D602E">
        <w:rPr>
          <w:rFonts w:ascii="Arial" w:hAnsi="Arial" w:cs="Arial"/>
        </w:rPr>
        <w:t xml:space="preserve"> SCO does not provide the option to wire funds.</w:t>
      </w:r>
    </w:p>
    <w:p w14:paraId="2B58EFD5" w14:textId="535E4DCE" w:rsidR="00200F3C" w:rsidRPr="000F615F" w:rsidRDefault="00F24BDC" w:rsidP="000F615F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0F615F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Documents </w:t>
      </w:r>
      <w:r w:rsidR="00CB0D9B" w:rsidRPr="000F615F">
        <w:rPr>
          <w:rFonts w:ascii="Arial" w:hAnsi="Arial" w:cs="Arial"/>
          <w:b/>
          <w:bCs/>
          <w:color w:val="auto"/>
          <w:sz w:val="24"/>
          <w:szCs w:val="24"/>
        </w:rPr>
        <w:t>Required</w:t>
      </w:r>
      <w:r w:rsidRPr="000F615F">
        <w:rPr>
          <w:rFonts w:ascii="Arial" w:hAnsi="Arial" w:cs="Arial"/>
          <w:b/>
          <w:bCs/>
          <w:color w:val="auto"/>
          <w:sz w:val="24"/>
          <w:szCs w:val="24"/>
        </w:rPr>
        <w:t xml:space="preserve"> for </w:t>
      </w:r>
      <w:r w:rsidR="00CD0F2D" w:rsidRPr="000F615F">
        <w:rPr>
          <w:rFonts w:ascii="Arial" w:hAnsi="Arial" w:cs="Arial"/>
          <w:b/>
          <w:bCs/>
          <w:color w:val="auto"/>
          <w:sz w:val="24"/>
          <w:szCs w:val="24"/>
        </w:rPr>
        <w:t>Advances Directly into Escrow</w:t>
      </w:r>
    </w:p>
    <w:p w14:paraId="7062ED7F" w14:textId="31E75A3E" w:rsidR="00043AAD" w:rsidRDefault="00F171E3" w:rsidP="00236966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Arial" w:hAnsi="Arial" w:cs="Arial"/>
        </w:rPr>
      </w:pPr>
      <w:r w:rsidRPr="00D00A4D">
        <w:rPr>
          <w:rFonts w:ascii="Arial" w:hAnsi="Arial" w:cs="Arial"/>
        </w:rPr>
        <w:t>A letter signed by the authorized representative designated in the resolution</w:t>
      </w:r>
      <w:r w:rsidR="009C2F2C" w:rsidRPr="00D00A4D">
        <w:rPr>
          <w:rFonts w:ascii="Arial" w:hAnsi="Arial" w:cs="Arial"/>
        </w:rPr>
        <w:t xml:space="preserve">, requesting </w:t>
      </w:r>
      <w:r w:rsidR="00194E97" w:rsidRPr="00D00A4D">
        <w:rPr>
          <w:rFonts w:ascii="Arial" w:hAnsi="Arial" w:cs="Arial"/>
        </w:rPr>
        <w:t xml:space="preserve">disbursement of grant funds into escrow. </w:t>
      </w:r>
      <w:r w:rsidR="00487557" w:rsidRPr="00D00A4D">
        <w:rPr>
          <w:rFonts w:ascii="Arial" w:hAnsi="Arial" w:cs="Arial"/>
        </w:rPr>
        <w:t xml:space="preserve">See </w:t>
      </w:r>
      <w:hyperlink r:id="rId7" w:history="1">
        <w:r w:rsidR="00FE3D72" w:rsidRPr="00D00A4D">
          <w:rPr>
            <w:rStyle w:val="Hyperlink"/>
            <w:rFonts w:ascii="Arial" w:hAnsi="Arial" w:cs="Arial"/>
          </w:rPr>
          <w:t>Advances Directly into Escrow -Acquisitions Only</w:t>
        </w:r>
      </w:hyperlink>
      <w:r w:rsidR="00EA34E9" w:rsidRPr="00D00A4D">
        <w:rPr>
          <w:rFonts w:ascii="Arial" w:hAnsi="Arial" w:cs="Arial"/>
        </w:rPr>
        <w:t xml:space="preserve"> </w:t>
      </w:r>
      <w:r w:rsidR="00C22A56" w:rsidRPr="00D00A4D">
        <w:rPr>
          <w:rFonts w:ascii="Arial" w:hAnsi="Arial" w:cs="Arial"/>
        </w:rPr>
        <w:t xml:space="preserve">webpage </w:t>
      </w:r>
      <w:r w:rsidR="00EA34E9" w:rsidRPr="00D00A4D">
        <w:rPr>
          <w:rFonts w:ascii="Arial" w:hAnsi="Arial" w:cs="Arial"/>
        </w:rPr>
        <w:t>for detailed instructions.</w:t>
      </w:r>
    </w:p>
    <w:p w14:paraId="5754AF42" w14:textId="77777777" w:rsidR="00236966" w:rsidRPr="00D00A4D" w:rsidRDefault="00236966" w:rsidP="00236966">
      <w:pPr>
        <w:pStyle w:val="ListParagraph"/>
        <w:spacing w:line="240" w:lineRule="auto"/>
        <w:ind w:left="360"/>
        <w:rPr>
          <w:rFonts w:ascii="Arial" w:hAnsi="Arial" w:cs="Arial"/>
        </w:rPr>
      </w:pPr>
    </w:p>
    <w:p w14:paraId="4789F192" w14:textId="3ADF9817" w:rsidR="00B17A2F" w:rsidRPr="00236966" w:rsidRDefault="00474200" w:rsidP="00236966">
      <w:pPr>
        <w:pStyle w:val="ListParagraph"/>
        <w:numPr>
          <w:ilvl w:val="0"/>
          <w:numId w:val="5"/>
        </w:numPr>
        <w:spacing w:after="240" w:line="240" w:lineRule="auto"/>
        <w:ind w:left="360"/>
        <w:rPr>
          <w:rFonts w:ascii="Arial" w:hAnsi="Arial" w:cs="Arial"/>
        </w:rPr>
      </w:pPr>
      <w:r w:rsidRPr="00D00A4D">
        <w:rPr>
          <w:rFonts w:ascii="Arial" w:hAnsi="Arial" w:cs="Arial"/>
        </w:rPr>
        <w:t>T</w:t>
      </w:r>
      <w:r w:rsidR="00F05D62" w:rsidRPr="00D00A4D">
        <w:rPr>
          <w:rFonts w:ascii="Arial" w:hAnsi="Arial" w:cs="Arial"/>
        </w:rPr>
        <w:t>he escrow company c</w:t>
      </w:r>
      <w:r w:rsidR="003248F3" w:rsidRPr="00D00A4D">
        <w:rPr>
          <w:rFonts w:ascii="Arial" w:hAnsi="Arial" w:cs="Arial"/>
        </w:rPr>
        <w:t>omplete</w:t>
      </w:r>
      <w:r w:rsidRPr="00D00A4D">
        <w:rPr>
          <w:rFonts w:ascii="Arial" w:hAnsi="Arial" w:cs="Arial"/>
        </w:rPr>
        <w:t>s a</w:t>
      </w:r>
      <w:r w:rsidR="003248F3" w:rsidRPr="00D00A4D">
        <w:rPr>
          <w:rFonts w:ascii="Arial" w:hAnsi="Arial" w:cs="Arial"/>
        </w:rPr>
        <w:t xml:space="preserve"> </w:t>
      </w:r>
      <w:hyperlink r:id="rId8" w:tgtFrame="_blank" w:history="1">
        <w:r w:rsidR="0094394B" w:rsidRPr="00D00A4D">
          <w:rPr>
            <w:rStyle w:val="Hyperlink"/>
            <w:rFonts w:ascii="Arial" w:eastAsiaTheme="majorEastAsia" w:hAnsi="Arial" w:cs="Arial"/>
            <w:color w:val="046B99"/>
          </w:rPr>
          <w:t>STD 204 - Payee Data Record</w:t>
        </w:r>
      </w:hyperlink>
      <w:r w:rsidR="000C04AF" w:rsidRPr="00D00A4D">
        <w:rPr>
          <w:rFonts w:ascii="Arial" w:hAnsi="Arial" w:cs="Arial"/>
          <w:color w:val="121214"/>
        </w:rPr>
        <w:t xml:space="preserve"> </w:t>
      </w:r>
      <w:r w:rsidR="002D43B1" w:rsidRPr="00D00A4D">
        <w:rPr>
          <w:rFonts w:ascii="Arial" w:hAnsi="Arial" w:cs="Arial"/>
          <w:color w:val="121214"/>
        </w:rPr>
        <w:t xml:space="preserve">to </w:t>
      </w:r>
      <w:r w:rsidR="00887B9A" w:rsidRPr="00D00A4D">
        <w:rPr>
          <w:rFonts w:ascii="Arial" w:hAnsi="Arial" w:cs="Arial"/>
          <w:color w:val="121214"/>
        </w:rPr>
        <w:t>allow</w:t>
      </w:r>
      <w:r w:rsidR="002D43B1" w:rsidRPr="00D00A4D">
        <w:rPr>
          <w:rFonts w:ascii="Arial" w:hAnsi="Arial" w:cs="Arial"/>
          <w:color w:val="121214"/>
        </w:rPr>
        <w:t xml:space="preserve"> for the</w:t>
      </w:r>
      <w:r w:rsidR="00236966">
        <w:rPr>
          <w:rFonts w:ascii="Arial" w:hAnsi="Arial" w:cs="Arial"/>
          <w:color w:val="121214"/>
        </w:rPr>
        <w:t xml:space="preserve"> </w:t>
      </w:r>
      <w:r w:rsidR="00C57F16" w:rsidRPr="00D00A4D">
        <w:rPr>
          <w:rFonts w:ascii="Arial" w:hAnsi="Arial" w:cs="Arial"/>
          <w:color w:val="121214"/>
        </w:rPr>
        <w:t xml:space="preserve">grant </w:t>
      </w:r>
      <w:r w:rsidR="002D43B1" w:rsidRPr="00D00A4D">
        <w:rPr>
          <w:rFonts w:ascii="Arial" w:hAnsi="Arial" w:cs="Arial"/>
          <w:color w:val="121214"/>
        </w:rPr>
        <w:t>payment to be sent directly</w:t>
      </w:r>
      <w:r w:rsidR="00BA7310" w:rsidRPr="00D00A4D">
        <w:rPr>
          <w:rFonts w:ascii="Arial" w:hAnsi="Arial" w:cs="Arial"/>
          <w:color w:val="121214"/>
        </w:rPr>
        <w:t xml:space="preserve"> </w:t>
      </w:r>
      <w:r w:rsidR="00DE50F6">
        <w:rPr>
          <w:rFonts w:ascii="Arial" w:hAnsi="Arial" w:cs="Arial"/>
          <w:color w:val="121214"/>
        </w:rPr>
        <w:t>to the</w:t>
      </w:r>
      <w:r w:rsidR="00BA7310" w:rsidRPr="00D00A4D">
        <w:rPr>
          <w:rFonts w:ascii="Arial" w:hAnsi="Arial" w:cs="Arial"/>
          <w:color w:val="121214"/>
        </w:rPr>
        <w:t xml:space="preserve"> escrow</w:t>
      </w:r>
      <w:r w:rsidR="00DE50F6">
        <w:rPr>
          <w:rFonts w:ascii="Arial" w:hAnsi="Arial" w:cs="Arial"/>
          <w:color w:val="121214"/>
        </w:rPr>
        <w:t xml:space="preserve"> company</w:t>
      </w:r>
      <w:r w:rsidR="00BA7310" w:rsidRPr="00D00A4D">
        <w:rPr>
          <w:rFonts w:ascii="Arial" w:hAnsi="Arial" w:cs="Arial"/>
          <w:color w:val="121214"/>
        </w:rPr>
        <w:t xml:space="preserve">. </w:t>
      </w:r>
    </w:p>
    <w:p w14:paraId="2151AB2A" w14:textId="77777777" w:rsidR="00236966" w:rsidRPr="00236966" w:rsidRDefault="00236966" w:rsidP="00236966">
      <w:pPr>
        <w:pStyle w:val="ListParagraph"/>
        <w:spacing w:after="240" w:line="240" w:lineRule="auto"/>
        <w:ind w:left="360"/>
        <w:rPr>
          <w:rFonts w:ascii="Arial" w:hAnsi="Arial" w:cs="Arial"/>
        </w:rPr>
      </w:pPr>
    </w:p>
    <w:p w14:paraId="4286C2AA" w14:textId="798ECA32" w:rsidR="00ED11A8" w:rsidRPr="00D00A4D" w:rsidRDefault="006E5785" w:rsidP="00236966">
      <w:pPr>
        <w:pStyle w:val="ListParagraph"/>
        <w:numPr>
          <w:ilvl w:val="0"/>
          <w:numId w:val="5"/>
        </w:numPr>
        <w:spacing w:before="240" w:line="480" w:lineRule="auto"/>
        <w:ind w:left="360"/>
        <w:rPr>
          <w:rFonts w:ascii="Arial" w:hAnsi="Arial" w:cs="Arial"/>
        </w:rPr>
      </w:pPr>
      <w:r w:rsidRPr="00D00A4D">
        <w:rPr>
          <w:rFonts w:ascii="Arial" w:hAnsi="Arial" w:cs="Arial"/>
        </w:rPr>
        <w:t>Preliminary Title Report</w:t>
      </w:r>
      <w:r w:rsidR="00E32E00" w:rsidRPr="00D00A4D">
        <w:rPr>
          <w:rFonts w:ascii="Arial" w:hAnsi="Arial" w:cs="Arial"/>
        </w:rPr>
        <w:t xml:space="preserve"> dated </w:t>
      </w:r>
      <w:r w:rsidR="00C85314" w:rsidRPr="00D00A4D">
        <w:rPr>
          <w:rFonts w:ascii="Arial" w:hAnsi="Arial" w:cs="Arial"/>
        </w:rPr>
        <w:t xml:space="preserve">within </w:t>
      </w:r>
      <w:r w:rsidR="00E32E00" w:rsidRPr="00D00A4D">
        <w:rPr>
          <w:rFonts w:ascii="Arial" w:hAnsi="Arial" w:cs="Arial"/>
        </w:rPr>
        <w:t>six months</w:t>
      </w:r>
      <w:r w:rsidR="00C85314" w:rsidRPr="00D00A4D">
        <w:rPr>
          <w:rFonts w:ascii="Arial" w:hAnsi="Arial" w:cs="Arial"/>
        </w:rPr>
        <w:t xml:space="preserve"> of the proposed</w:t>
      </w:r>
      <w:r w:rsidR="00E32E00" w:rsidRPr="00D00A4D">
        <w:rPr>
          <w:rFonts w:ascii="Arial" w:hAnsi="Arial" w:cs="Arial"/>
        </w:rPr>
        <w:t xml:space="preserve"> </w:t>
      </w:r>
      <w:r w:rsidR="00E52979" w:rsidRPr="00D00A4D">
        <w:rPr>
          <w:rFonts w:ascii="Arial" w:hAnsi="Arial" w:cs="Arial"/>
        </w:rPr>
        <w:t>acquisition date.</w:t>
      </w:r>
    </w:p>
    <w:p w14:paraId="0DF4C572" w14:textId="2BCD56AF" w:rsidR="00684456" w:rsidRPr="007D602E" w:rsidRDefault="00684456" w:rsidP="00ED11A8">
      <w:pPr>
        <w:pStyle w:val="ListParagraph"/>
        <w:numPr>
          <w:ilvl w:val="0"/>
          <w:numId w:val="5"/>
        </w:numPr>
        <w:spacing w:after="0"/>
        <w:ind w:left="360"/>
        <w:rPr>
          <w:rFonts w:ascii="Arial" w:hAnsi="Arial" w:cs="Arial"/>
        </w:rPr>
      </w:pPr>
      <w:r w:rsidRPr="007D602E">
        <w:rPr>
          <w:rFonts w:ascii="Arial" w:hAnsi="Arial" w:cs="Arial"/>
        </w:rPr>
        <w:t xml:space="preserve">Payment Request Form: the “Send Warrant To” item </w:t>
      </w:r>
      <w:r w:rsidR="00FD0E69" w:rsidRPr="007D602E">
        <w:rPr>
          <w:rFonts w:ascii="Arial" w:hAnsi="Arial" w:cs="Arial"/>
        </w:rPr>
        <w:t>7</w:t>
      </w:r>
      <w:r w:rsidRPr="007D602E">
        <w:rPr>
          <w:rFonts w:ascii="Arial" w:hAnsi="Arial" w:cs="Arial"/>
        </w:rPr>
        <w:t xml:space="preserve"> on the Payment Request Form must be completed using the title company’s or escrow holder’s name, mailing address, and contact person</w:t>
      </w:r>
      <w:r w:rsidR="002F5D44" w:rsidRPr="007D602E">
        <w:rPr>
          <w:rFonts w:ascii="Arial" w:hAnsi="Arial" w:cs="Arial"/>
        </w:rPr>
        <w:t xml:space="preserve">. </w:t>
      </w:r>
    </w:p>
    <w:p w14:paraId="68450A4E" w14:textId="77777777" w:rsidR="002F5D44" w:rsidRPr="007D602E" w:rsidRDefault="002F5D44" w:rsidP="002F5D44">
      <w:pPr>
        <w:spacing w:after="0"/>
        <w:rPr>
          <w:rFonts w:ascii="Arial" w:hAnsi="Arial" w:cs="Arial"/>
          <w:sz w:val="8"/>
          <w:szCs w:val="8"/>
        </w:rPr>
      </w:pPr>
    </w:p>
    <w:p w14:paraId="6C29D33F" w14:textId="722258AC" w:rsidR="001827FA" w:rsidRPr="007D602E" w:rsidRDefault="0000590A" w:rsidP="0000590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hyperlink r:id="rId9" w:history="1">
        <w:r w:rsidRPr="007D602E">
          <w:rPr>
            <w:rStyle w:val="Hyperlink"/>
            <w:rFonts w:ascii="Arial" w:hAnsi="Arial" w:cs="Arial"/>
          </w:rPr>
          <w:t>State Grant Payment Request Form</w:t>
        </w:r>
      </w:hyperlink>
    </w:p>
    <w:p w14:paraId="5E77BA40" w14:textId="5D23E687" w:rsidR="00297AB4" w:rsidRPr="007D602E" w:rsidRDefault="00297AB4" w:rsidP="00F2011A">
      <w:pPr>
        <w:pStyle w:val="ListParagraph"/>
        <w:numPr>
          <w:ilvl w:val="0"/>
          <w:numId w:val="7"/>
        </w:numPr>
        <w:spacing w:before="240"/>
        <w:rPr>
          <w:rFonts w:ascii="Arial" w:hAnsi="Arial" w:cs="Arial"/>
        </w:rPr>
      </w:pPr>
      <w:hyperlink r:id="rId10" w:history="1">
        <w:r w:rsidRPr="007D602E">
          <w:rPr>
            <w:rStyle w:val="Hyperlink"/>
            <w:rFonts w:ascii="Arial" w:hAnsi="Arial" w:cs="Arial"/>
          </w:rPr>
          <w:t>Federal Grant Payment Request Form</w:t>
        </w:r>
      </w:hyperlink>
    </w:p>
    <w:p w14:paraId="1C5C1BF0" w14:textId="157D51E5" w:rsidR="00297AB4" w:rsidRPr="000F615F" w:rsidRDefault="000556B2" w:rsidP="00F2011A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0F615F">
        <w:rPr>
          <w:rFonts w:ascii="Arial" w:hAnsi="Arial" w:cs="Arial"/>
          <w:b/>
          <w:bCs/>
          <w:color w:val="auto"/>
          <w:sz w:val="24"/>
          <w:szCs w:val="24"/>
        </w:rPr>
        <w:t xml:space="preserve">Documents </w:t>
      </w:r>
      <w:r w:rsidR="00CB0D9B" w:rsidRPr="000F615F">
        <w:rPr>
          <w:rFonts w:ascii="Arial" w:hAnsi="Arial" w:cs="Arial"/>
          <w:b/>
          <w:bCs/>
          <w:color w:val="auto"/>
          <w:sz w:val="24"/>
          <w:szCs w:val="24"/>
        </w:rPr>
        <w:t>Required</w:t>
      </w:r>
      <w:r w:rsidRPr="000F615F">
        <w:rPr>
          <w:rFonts w:ascii="Arial" w:hAnsi="Arial" w:cs="Arial"/>
          <w:b/>
          <w:bCs/>
          <w:color w:val="auto"/>
          <w:sz w:val="24"/>
          <w:szCs w:val="24"/>
        </w:rPr>
        <w:t xml:space="preserve"> for Reimbursement of Acquisition</w:t>
      </w:r>
    </w:p>
    <w:p w14:paraId="778185B3" w14:textId="082C5931" w:rsidR="00BA0967" w:rsidRDefault="00A52DDA" w:rsidP="00262C7C">
      <w:pPr>
        <w:pStyle w:val="ListParagraph"/>
        <w:numPr>
          <w:ilvl w:val="0"/>
          <w:numId w:val="8"/>
        </w:numPr>
        <w:spacing w:before="240" w:line="480" w:lineRule="auto"/>
        <w:rPr>
          <w:rFonts w:ascii="Arial" w:hAnsi="Arial" w:cs="Arial"/>
        </w:rPr>
      </w:pPr>
      <w:r w:rsidRPr="007D602E">
        <w:rPr>
          <w:rFonts w:ascii="Arial" w:hAnsi="Arial" w:cs="Arial"/>
        </w:rPr>
        <w:t>Preliminary Title Report</w:t>
      </w:r>
      <w:r w:rsidR="00620F01">
        <w:rPr>
          <w:rFonts w:ascii="Arial" w:hAnsi="Arial" w:cs="Arial"/>
        </w:rPr>
        <w:t xml:space="preserve"> dated </w:t>
      </w:r>
      <w:r w:rsidR="00F16A5A">
        <w:rPr>
          <w:rFonts w:ascii="Arial" w:hAnsi="Arial" w:cs="Arial"/>
        </w:rPr>
        <w:t xml:space="preserve">within </w:t>
      </w:r>
      <w:r w:rsidR="00620F01">
        <w:rPr>
          <w:rFonts w:ascii="Arial" w:hAnsi="Arial" w:cs="Arial"/>
        </w:rPr>
        <w:t xml:space="preserve">six months </w:t>
      </w:r>
      <w:r w:rsidR="0021442A">
        <w:rPr>
          <w:rFonts w:ascii="Arial" w:hAnsi="Arial" w:cs="Arial"/>
        </w:rPr>
        <w:t>of</w:t>
      </w:r>
      <w:r w:rsidR="00620F01">
        <w:rPr>
          <w:rFonts w:ascii="Arial" w:hAnsi="Arial" w:cs="Arial"/>
        </w:rPr>
        <w:t xml:space="preserve"> the </w:t>
      </w:r>
      <w:r w:rsidR="007B1ED3">
        <w:rPr>
          <w:rFonts w:ascii="Arial" w:hAnsi="Arial" w:cs="Arial"/>
        </w:rPr>
        <w:t xml:space="preserve">proposed </w:t>
      </w:r>
      <w:r w:rsidR="00620F01">
        <w:rPr>
          <w:rFonts w:ascii="Arial" w:hAnsi="Arial" w:cs="Arial"/>
        </w:rPr>
        <w:t>acquisition</w:t>
      </w:r>
      <w:r w:rsidR="007B1ED3">
        <w:rPr>
          <w:rFonts w:ascii="Arial" w:hAnsi="Arial" w:cs="Arial"/>
        </w:rPr>
        <w:t xml:space="preserve"> date</w:t>
      </w:r>
    </w:p>
    <w:p w14:paraId="78100761" w14:textId="7C8059E7" w:rsidR="00BA0967" w:rsidRPr="007D602E" w:rsidRDefault="00BA0967" w:rsidP="0041603F">
      <w:pPr>
        <w:pStyle w:val="ListParagraph"/>
        <w:numPr>
          <w:ilvl w:val="0"/>
          <w:numId w:val="8"/>
        </w:numPr>
        <w:rPr>
          <w:rFonts w:ascii="Arial" w:hAnsi="Arial" w:cs="Arial"/>
          <w:sz w:val="8"/>
          <w:szCs w:val="8"/>
        </w:rPr>
      </w:pPr>
      <w:r w:rsidRPr="007D602E">
        <w:rPr>
          <w:rFonts w:ascii="Arial" w:hAnsi="Arial" w:cs="Arial"/>
        </w:rPr>
        <w:t xml:space="preserve">Payment Request Form </w:t>
      </w:r>
    </w:p>
    <w:p w14:paraId="19F80921" w14:textId="77777777" w:rsidR="00BA0967" w:rsidRPr="007D602E" w:rsidRDefault="00BA0967" w:rsidP="00BA09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hyperlink r:id="rId11" w:history="1">
        <w:r w:rsidRPr="007D602E">
          <w:rPr>
            <w:rStyle w:val="Hyperlink"/>
            <w:rFonts w:ascii="Arial" w:hAnsi="Arial" w:cs="Arial"/>
          </w:rPr>
          <w:t>State Grant Payment Request Form</w:t>
        </w:r>
      </w:hyperlink>
    </w:p>
    <w:p w14:paraId="0DCABECE" w14:textId="40379166" w:rsidR="00F03D43" w:rsidRPr="00F2011A" w:rsidRDefault="00BA0967" w:rsidP="00262C7C">
      <w:pPr>
        <w:pStyle w:val="ListParagraph"/>
        <w:numPr>
          <w:ilvl w:val="0"/>
          <w:numId w:val="7"/>
        </w:numPr>
        <w:spacing w:before="240" w:line="480" w:lineRule="auto"/>
        <w:rPr>
          <w:rFonts w:ascii="Arial" w:hAnsi="Arial" w:cs="Arial"/>
        </w:rPr>
      </w:pPr>
      <w:hyperlink r:id="rId12" w:history="1">
        <w:r w:rsidRPr="007D602E">
          <w:rPr>
            <w:rStyle w:val="Hyperlink"/>
            <w:rFonts w:ascii="Arial" w:hAnsi="Arial" w:cs="Arial"/>
          </w:rPr>
          <w:t>Federal Grant Payment Request Form</w:t>
        </w:r>
      </w:hyperlink>
    </w:p>
    <w:p w14:paraId="0F790AD1" w14:textId="0BD172B1" w:rsidR="00EA127F" w:rsidRPr="007D602E" w:rsidRDefault="00F03D43" w:rsidP="00262C7C">
      <w:pPr>
        <w:pStyle w:val="ListParagraph"/>
        <w:numPr>
          <w:ilvl w:val="0"/>
          <w:numId w:val="8"/>
        </w:numPr>
        <w:spacing w:before="240" w:line="480" w:lineRule="auto"/>
        <w:rPr>
          <w:rFonts w:ascii="Arial" w:hAnsi="Arial" w:cs="Arial"/>
        </w:rPr>
      </w:pPr>
      <w:r w:rsidRPr="007D602E">
        <w:rPr>
          <w:rFonts w:ascii="Arial" w:hAnsi="Arial" w:cs="Arial"/>
        </w:rPr>
        <w:t>Final Escrow Closing Statement</w:t>
      </w:r>
    </w:p>
    <w:p w14:paraId="38414B49" w14:textId="684CD5CC" w:rsidR="009876A8" w:rsidRPr="009876A8" w:rsidRDefault="000F23FA" w:rsidP="00262C7C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</w:rPr>
      </w:pPr>
      <w:hyperlink r:id="rId13" w:history="1">
        <w:r w:rsidRPr="009876A8">
          <w:rPr>
            <w:rStyle w:val="Hyperlink"/>
            <w:rFonts w:ascii="Arial" w:hAnsi="Arial" w:cs="Arial"/>
          </w:rPr>
          <w:t>Grant Expenditure Form</w:t>
        </w:r>
      </w:hyperlink>
    </w:p>
    <w:p w14:paraId="4873606E" w14:textId="75725A0C" w:rsidR="00A52DDA" w:rsidRPr="007D602E" w:rsidRDefault="00D47755" w:rsidP="00262C7C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</w:rPr>
      </w:pPr>
      <w:r w:rsidRPr="007D602E">
        <w:rPr>
          <w:rFonts w:ascii="Arial" w:hAnsi="Arial" w:cs="Arial"/>
        </w:rPr>
        <w:t>Recor</w:t>
      </w:r>
      <w:r w:rsidR="00716B8A" w:rsidRPr="007D602E">
        <w:rPr>
          <w:rFonts w:ascii="Arial" w:hAnsi="Arial" w:cs="Arial"/>
        </w:rPr>
        <w:t>ded</w:t>
      </w:r>
      <w:r w:rsidR="001C002A" w:rsidRPr="007D602E">
        <w:rPr>
          <w:rFonts w:ascii="Arial" w:hAnsi="Arial" w:cs="Arial"/>
        </w:rPr>
        <w:t xml:space="preserve"> </w:t>
      </w:r>
      <w:r w:rsidR="00716B8A" w:rsidRPr="007D602E">
        <w:rPr>
          <w:rFonts w:ascii="Arial" w:hAnsi="Arial" w:cs="Arial"/>
        </w:rPr>
        <w:t>Deed</w:t>
      </w:r>
    </w:p>
    <w:p w14:paraId="54ACF8EA" w14:textId="4B5AD350" w:rsidR="00716B8A" w:rsidRPr="007D602E" w:rsidRDefault="00716B8A" w:rsidP="00262C7C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</w:rPr>
      </w:pPr>
      <w:r w:rsidRPr="007D602E">
        <w:rPr>
          <w:rFonts w:ascii="Arial" w:hAnsi="Arial" w:cs="Arial"/>
        </w:rPr>
        <w:t>Recorded Deed Restriction</w:t>
      </w:r>
      <w:r w:rsidR="00307260">
        <w:rPr>
          <w:rFonts w:ascii="Arial" w:hAnsi="Arial" w:cs="Arial"/>
        </w:rPr>
        <w:t>, if applicable</w:t>
      </w:r>
      <w:r w:rsidRPr="007D602E">
        <w:rPr>
          <w:rFonts w:ascii="Arial" w:hAnsi="Arial" w:cs="Arial"/>
        </w:rPr>
        <w:t xml:space="preserve"> </w:t>
      </w:r>
    </w:p>
    <w:p w14:paraId="305108E9" w14:textId="15A191A2" w:rsidR="00A60201" w:rsidRPr="00262C7C" w:rsidRDefault="00716B8A" w:rsidP="00262C7C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</w:rPr>
      </w:pPr>
      <w:r w:rsidRPr="00262C7C">
        <w:rPr>
          <w:rFonts w:ascii="Arial" w:hAnsi="Arial" w:cs="Arial"/>
        </w:rPr>
        <w:t>Title Insurance Policy</w:t>
      </w:r>
    </w:p>
    <w:p w14:paraId="10DAADFA" w14:textId="6B83F488" w:rsidR="00A60201" w:rsidRPr="007D602E" w:rsidRDefault="00A60201" w:rsidP="00A52DDA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7D602E">
        <w:rPr>
          <w:rFonts w:ascii="Arial" w:hAnsi="Arial" w:cs="Arial"/>
        </w:rPr>
        <w:t xml:space="preserve">Photo of </w:t>
      </w:r>
      <w:r w:rsidR="00A943BF" w:rsidRPr="007D602E">
        <w:rPr>
          <w:rFonts w:ascii="Arial" w:hAnsi="Arial" w:cs="Arial"/>
        </w:rPr>
        <w:t xml:space="preserve">the mounted </w:t>
      </w:r>
      <w:hyperlink r:id="rId14" w:history="1">
        <w:r w:rsidR="00A943BF" w:rsidRPr="007D602E">
          <w:rPr>
            <w:rStyle w:val="Hyperlink"/>
            <w:rFonts w:ascii="Arial" w:hAnsi="Arial" w:cs="Arial"/>
          </w:rPr>
          <w:t xml:space="preserve">funding </w:t>
        </w:r>
        <w:r w:rsidR="007A4523" w:rsidRPr="007D602E">
          <w:rPr>
            <w:rStyle w:val="Hyperlink"/>
            <w:rFonts w:ascii="Arial" w:hAnsi="Arial" w:cs="Arial"/>
          </w:rPr>
          <w:t xml:space="preserve">acknowledgement </w:t>
        </w:r>
        <w:r w:rsidR="00A943BF" w:rsidRPr="007D602E">
          <w:rPr>
            <w:rStyle w:val="Hyperlink"/>
            <w:rFonts w:ascii="Arial" w:hAnsi="Arial" w:cs="Arial"/>
          </w:rPr>
          <w:t>sign</w:t>
        </w:r>
      </w:hyperlink>
      <w:r w:rsidR="00A943BF" w:rsidRPr="007D602E">
        <w:rPr>
          <w:rFonts w:ascii="Arial" w:hAnsi="Arial" w:cs="Arial"/>
        </w:rPr>
        <w:t xml:space="preserve"> and location, if applicabl</w:t>
      </w:r>
      <w:r w:rsidR="00307260">
        <w:rPr>
          <w:rFonts w:ascii="Arial" w:hAnsi="Arial" w:cs="Arial"/>
        </w:rPr>
        <w:t>e</w:t>
      </w:r>
    </w:p>
    <w:p w14:paraId="6BD9BC72" w14:textId="77777777" w:rsidR="00716B8A" w:rsidRPr="007D602E" w:rsidRDefault="00716B8A" w:rsidP="00716B8A">
      <w:pPr>
        <w:pStyle w:val="ListParagraph"/>
        <w:rPr>
          <w:rFonts w:ascii="Arial" w:hAnsi="Arial" w:cs="Arial"/>
        </w:rPr>
      </w:pPr>
    </w:p>
    <w:sectPr w:rsidR="00716B8A" w:rsidRPr="007D6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5D59"/>
    <w:multiLevelType w:val="hybridMultilevel"/>
    <w:tmpl w:val="A8CAF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1003A"/>
    <w:multiLevelType w:val="hybridMultilevel"/>
    <w:tmpl w:val="CA98C8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EA2DB1"/>
    <w:multiLevelType w:val="hybridMultilevel"/>
    <w:tmpl w:val="202EE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C3488"/>
    <w:multiLevelType w:val="hybridMultilevel"/>
    <w:tmpl w:val="196CC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72AC1"/>
    <w:multiLevelType w:val="hybridMultilevel"/>
    <w:tmpl w:val="C37C270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55776B91"/>
    <w:multiLevelType w:val="hybridMultilevel"/>
    <w:tmpl w:val="D33C4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D07E9D"/>
    <w:multiLevelType w:val="hybridMultilevel"/>
    <w:tmpl w:val="3502F7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69707C"/>
    <w:multiLevelType w:val="multilevel"/>
    <w:tmpl w:val="21E2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995821"/>
    <w:multiLevelType w:val="hybridMultilevel"/>
    <w:tmpl w:val="7AC66EFE"/>
    <w:lvl w:ilvl="0" w:tplc="5EA2F01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425993">
    <w:abstractNumId w:val="6"/>
  </w:num>
  <w:num w:numId="2" w16cid:durableId="1838811678">
    <w:abstractNumId w:val="0"/>
  </w:num>
  <w:num w:numId="3" w16cid:durableId="1960606163">
    <w:abstractNumId w:val="5"/>
  </w:num>
  <w:num w:numId="4" w16cid:durableId="2136289763">
    <w:abstractNumId w:val="2"/>
  </w:num>
  <w:num w:numId="5" w16cid:durableId="1497917371">
    <w:abstractNumId w:val="3"/>
  </w:num>
  <w:num w:numId="6" w16cid:durableId="386996394">
    <w:abstractNumId w:val="7"/>
  </w:num>
  <w:num w:numId="7" w16cid:durableId="1648707223">
    <w:abstractNumId w:val="4"/>
  </w:num>
  <w:num w:numId="8" w16cid:durableId="765080712">
    <w:abstractNumId w:val="8"/>
  </w:num>
  <w:num w:numId="9" w16cid:durableId="144503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45"/>
    <w:rsid w:val="0000590A"/>
    <w:rsid w:val="00043AAD"/>
    <w:rsid w:val="000556B2"/>
    <w:rsid w:val="000669BB"/>
    <w:rsid w:val="00070FD7"/>
    <w:rsid w:val="000944AC"/>
    <w:rsid w:val="000B68DA"/>
    <w:rsid w:val="000C04AF"/>
    <w:rsid w:val="000E105A"/>
    <w:rsid w:val="000F23FA"/>
    <w:rsid w:val="000F615F"/>
    <w:rsid w:val="00104731"/>
    <w:rsid w:val="00140ED2"/>
    <w:rsid w:val="001827FA"/>
    <w:rsid w:val="001940EC"/>
    <w:rsid w:val="00194E97"/>
    <w:rsid w:val="001C002A"/>
    <w:rsid w:val="001D3F1A"/>
    <w:rsid w:val="001F214F"/>
    <w:rsid w:val="00200F3C"/>
    <w:rsid w:val="00202F6E"/>
    <w:rsid w:val="0021099B"/>
    <w:rsid w:val="0021442A"/>
    <w:rsid w:val="00216851"/>
    <w:rsid w:val="00236966"/>
    <w:rsid w:val="00240A3A"/>
    <w:rsid w:val="00250809"/>
    <w:rsid w:val="00251F52"/>
    <w:rsid w:val="00262C7C"/>
    <w:rsid w:val="00263099"/>
    <w:rsid w:val="00266541"/>
    <w:rsid w:val="00267F37"/>
    <w:rsid w:val="00297AB4"/>
    <w:rsid w:val="00297DDC"/>
    <w:rsid w:val="002A7B73"/>
    <w:rsid w:val="002C636B"/>
    <w:rsid w:val="002D43B1"/>
    <w:rsid w:val="002E0A8E"/>
    <w:rsid w:val="002F5D44"/>
    <w:rsid w:val="00307260"/>
    <w:rsid w:val="00310367"/>
    <w:rsid w:val="00316E8B"/>
    <w:rsid w:val="003248F3"/>
    <w:rsid w:val="003351BF"/>
    <w:rsid w:val="003A5BC9"/>
    <w:rsid w:val="003E63A2"/>
    <w:rsid w:val="003F5757"/>
    <w:rsid w:val="0041603F"/>
    <w:rsid w:val="00474200"/>
    <w:rsid w:val="00487557"/>
    <w:rsid w:val="004A48F7"/>
    <w:rsid w:val="004A5D5D"/>
    <w:rsid w:val="004B26C4"/>
    <w:rsid w:val="00531B08"/>
    <w:rsid w:val="00552820"/>
    <w:rsid w:val="005759E7"/>
    <w:rsid w:val="005A2FD6"/>
    <w:rsid w:val="005A5039"/>
    <w:rsid w:val="005C71DA"/>
    <w:rsid w:val="005D4B55"/>
    <w:rsid w:val="005D51DE"/>
    <w:rsid w:val="006202D7"/>
    <w:rsid w:val="00620F01"/>
    <w:rsid w:val="006630F2"/>
    <w:rsid w:val="00670A77"/>
    <w:rsid w:val="00684456"/>
    <w:rsid w:val="006E2AB2"/>
    <w:rsid w:val="006E5785"/>
    <w:rsid w:val="00706D6A"/>
    <w:rsid w:val="007148BE"/>
    <w:rsid w:val="00716B8A"/>
    <w:rsid w:val="007348E9"/>
    <w:rsid w:val="00740FFE"/>
    <w:rsid w:val="007537B7"/>
    <w:rsid w:val="00786E38"/>
    <w:rsid w:val="0079588E"/>
    <w:rsid w:val="007A4523"/>
    <w:rsid w:val="007A7825"/>
    <w:rsid w:val="007B1ED3"/>
    <w:rsid w:val="007D602E"/>
    <w:rsid w:val="00814687"/>
    <w:rsid w:val="00821CFC"/>
    <w:rsid w:val="0082633B"/>
    <w:rsid w:val="008327E1"/>
    <w:rsid w:val="0088250D"/>
    <w:rsid w:val="008828EB"/>
    <w:rsid w:val="00887B9A"/>
    <w:rsid w:val="008A33FF"/>
    <w:rsid w:val="008B5E24"/>
    <w:rsid w:val="008F0B0A"/>
    <w:rsid w:val="008F3A8F"/>
    <w:rsid w:val="00903972"/>
    <w:rsid w:val="00906A5F"/>
    <w:rsid w:val="00926293"/>
    <w:rsid w:val="009415EA"/>
    <w:rsid w:val="0094394B"/>
    <w:rsid w:val="009644F4"/>
    <w:rsid w:val="009876A8"/>
    <w:rsid w:val="009C2F2C"/>
    <w:rsid w:val="00A13AB0"/>
    <w:rsid w:val="00A15D2A"/>
    <w:rsid w:val="00A22304"/>
    <w:rsid w:val="00A52DDA"/>
    <w:rsid w:val="00A60201"/>
    <w:rsid w:val="00A635C3"/>
    <w:rsid w:val="00A67F48"/>
    <w:rsid w:val="00A943BF"/>
    <w:rsid w:val="00AD1C9C"/>
    <w:rsid w:val="00AF079E"/>
    <w:rsid w:val="00B03CB4"/>
    <w:rsid w:val="00B03D11"/>
    <w:rsid w:val="00B17A2F"/>
    <w:rsid w:val="00B31325"/>
    <w:rsid w:val="00B6284F"/>
    <w:rsid w:val="00B70DEC"/>
    <w:rsid w:val="00B83C4C"/>
    <w:rsid w:val="00BA0967"/>
    <w:rsid w:val="00BA7310"/>
    <w:rsid w:val="00BB09DB"/>
    <w:rsid w:val="00BE2963"/>
    <w:rsid w:val="00BF408A"/>
    <w:rsid w:val="00BF6F3D"/>
    <w:rsid w:val="00C13499"/>
    <w:rsid w:val="00C22A56"/>
    <w:rsid w:val="00C42FBF"/>
    <w:rsid w:val="00C52ACC"/>
    <w:rsid w:val="00C57F16"/>
    <w:rsid w:val="00C814B2"/>
    <w:rsid w:val="00C82A88"/>
    <w:rsid w:val="00C85314"/>
    <w:rsid w:val="00C9729E"/>
    <w:rsid w:val="00CB0D9B"/>
    <w:rsid w:val="00CD0F2D"/>
    <w:rsid w:val="00CD6516"/>
    <w:rsid w:val="00CF4845"/>
    <w:rsid w:val="00CF6675"/>
    <w:rsid w:val="00D00A4D"/>
    <w:rsid w:val="00D22496"/>
    <w:rsid w:val="00D272FA"/>
    <w:rsid w:val="00D37364"/>
    <w:rsid w:val="00D4295C"/>
    <w:rsid w:val="00D45A7A"/>
    <w:rsid w:val="00D47755"/>
    <w:rsid w:val="00D61BDD"/>
    <w:rsid w:val="00D72B09"/>
    <w:rsid w:val="00D80A98"/>
    <w:rsid w:val="00D854CC"/>
    <w:rsid w:val="00D91DC8"/>
    <w:rsid w:val="00DC5B4F"/>
    <w:rsid w:val="00DE50F6"/>
    <w:rsid w:val="00E1747A"/>
    <w:rsid w:val="00E20AF6"/>
    <w:rsid w:val="00E32E00"/>
    <w:rsid w:val="00E44EEA"/>
    <w:rsid w:val="00E502F9"/>
    <w:rsid w:val="00E52944"/>
    <w:rsid w:val="00E52979"/>
    <w:rsid w:val="00EA127F"/>
    <w:rsid w:val="00EA34E9"/>
    <w:rsid w:val="00EC2FDA"/>
    <w:rsid w:val="00EC6B6A"/>
    <w:rsid w:val="00ED11A8"/>
    <w:rsid w:val="00ED7DE7"/>
    <w:rsid w:val="00F03D43"/>
    <w:rsid w:val="00F05D62"/>
    <w:rsid w:val="00F16A5A"/>
    <w:rsid w:val="00F171E3"/>
    <w:rsid w:val="00F2011A"/>
    <w:rsid w:val="00F24BDC"/>
    <w:rsid w:val="00F30BB3"/>
    <w:rsid w:val="00F97449"/>
    <w:rsid w:val="00FA099D"/>
    <w:rsid w:val="00FB2A85"/>
    <w:rsid w:val="00FB384C"/>
    <w:rsid w:val="00FD0E69"/>
    <w:rsid w:val="00FE3D72"/>
    <w:rsid w:val="00F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D685A"/>
  <w15:chartTrackingRefBased/>
  <w15:docId w15:val="{EE3F7F7E-5B8B-4FC7-ACD6-B8B1C638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F48"/>
  </w:style>
  <w:style w:type="paragraph" w:styleId="Heading1">
    <w:name w:val="heading 1"/>
    <w:basedOn w:val="Normal"/>
    <w:next w:val="Normal"/>
    <w:link w:val="Heading1Char"/>
    <w:uiPriority w:val="9"/>
    <w:qFormat/>
    <w:rsid w:val="00CF4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4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8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48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4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2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D11A8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2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23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23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3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7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ks.ca.gov/pages/1008/files/std204.pdf" TargetMode="External"/><Relationship Id="rId13" Type="http://schemas.openxmlformats.org/officeDocument/2006/relationships/hyperlink" Target="https://www.parks.ca.gov/pages/1012/files/DPR212E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rks.ca.gov/?Page_id=23268" TargetMode="External"/><Relationship Id="rId12" Type="http://schemas.openxmlformats.org/officeDocument/2006/relationships/hyperlink" Target="https://www.parks.ca.gov/pages/1012/files/DPR212F.xls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parks.ca.gov/pages/1008/files/Appraisal_and_Appraisal_Reviews_for_Acquisitions_3.15.16_2.19.21.pdf" TargetMode="External"/><Relationship Id="rId11" Type="http://schemas.openxmlformats.org/officeDocument/2006/relationships/hyperlink" Target="https://www.parks.ca.gov/pages/1012/files/DPR212&amp;212A.xlsx" TargetMode="External"/><Relationship Id="rId5" Type="http://schemas.openxmlformats.org/officeDocument/2006/relationships/hyperlink" Target="https://www.parks.ca.gov/pages/1008/files/Deed%20Restriction%20Instructions-4-22-24-Remediated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parks.ca.gov/pages/1012/files/DPR212F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rks.ca.gov/pages/1012/files/DPR212&amp;212A.xlsx" TargetMode="External"/><Relationship Id="rId14" Type="http://schemas.openxmlformats.org/officeDocument/2006/relationships/hyperlink" Target="https://www.parks.ca.gov/?page_id=31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Fazeli, Cristelle@Parks</dc:creator>
  <cp:keywords/>
  <dc:description/>
  <cp:lastModifiedBy>Fazeli, Cristelle@Parks</cp:lastModifiedBy>
  <cp:revision>44</cp:revision>
  <dcterms:created xsi:type="dcterms:W3CDTF">2024-07-12T20:20:00Z</dcterms:created>
  <dcterms:modified xsi:type="dcterms:W3CDTF">2026-02-17T15:46:00Z</dcterms:modified>
</cp:coreProperties>
</file>